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поворотного сидіння за ДК 021:2015: 39110000-6 Сидіння, стільці та супутні вироби і частини до них</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011708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поворотного сидіння за ДК 021:2015: 39110000-6 Сидіння, стільці та супутні вироби і частини до них</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rPr>
              <w:t xml:space="preserve">Поворотне сидіння</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pPr>
            <w:r>
              <w:rPr>
                <w:b/>
              </w:rPr>
              <w:t xml:space="preserve">11</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b/>
          <w:bCs/>
          <w:i/>
          <w:iCs/>
          <w:sz w:val="24"/>
          <w:szCs w:val="24"/>
          <w:lang w:eastAsia="ar-SA"/>
        </w:rPr>
      </w:pPr>
      <w:r>
        <w:rPr>
          <w:rFonts w:ascii="Times New Roman" w:hAnsi="Times New Roman" w:cs="Times New Roman"/>
          <w:sz w:val="24"/>
          <w:szCs w:val="24"/>
          <w:lang w:eastAsia="ar-SA"/>
        </w:rPr>
        <w:t xml:space="preserve">8. </w:t>
      </w:r>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 п/п</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Поворотне</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сидіння</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11</w:t>
            </w:r>
            <w:r/>
          </w:p>
        </w:tc>
      </w:tr>
      <w:tr>
        <w:trPr>
          <w:jc w:val="center"/>
          <w:trHeight w:val="6106"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1.</w:t>
            </w:r>
            <w:r/>
          </w:p>
        </w:tc>
        <w:tc>
          <w:tcPr>
            <w:gridSpan w:val="3"/>
            <w:shd w:val="clear" w:color="auto" w:fill="auto"/>
            <w:tcBorders>
              <w:top w:val="single" w:color="auto" w:sz="4" w:space="0"/>
              <w:left w:val="single" w:color="auto" w:sz="4" w:space="0"/>
              <w:bottom w:val="single" w:color="auto" w:sz="4" w:space="0"/>
              <w:right w:val="single" w:color="auto" w:sz="4" w:space="0"/>
            </w:tcBorders>
            <w:tcW w:w="9072" w:type="dxa"/>
            <w:textDirection w:val="lrTb"/>
            <w:noWrap w:val="false"/>
          </w:tcPr>
          <w:p>
            <w:pPr>
              <w:ind w:left="132"/>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Вага : не більше14.1 кг</w:t>
            </w:r>
            <w:r/>
          </w:p>
          <w:p>
            <w:pPr>
              <w:ind w:left="132"/>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Ширина: не більше 62 см ± 3 см</w:t>
            </w:r>
            <w:r/>
          </w:p>
          <w:p>
            <w:pPr>
              <w:ind w:left="132"/>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Глибина: не більше 77 см ± 3 см</w:t>
            </w:r>
            <w:r/>
          </w:p>
          <w:p>
            <w:pPr>
              <w:ind w:left="132"/>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з урахуванням спинки: не більше 119 см ± 3 см</w:t>
            </w:r>
            <w:r/>
          </w:p>
          <w:p>
            <w:pPr>
              <w:ind w:left="132"/>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сидіння в нижньому положенні: не більше 43 см ± 3 см</w:t>
            </w:r>
            <w:r/>
          </w:p>
          <w:p>
            <w:pPr>
              <w:ind w:left="132"/>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сидіння у верхньому положенні: не більше 50 см ± 3 см</w:t>
            </w:r>
            <w:r/>
          </w:p>
          <w:p>
            <w:pPr>
              <w:pStyle w:val="751"/>
              <w:ind w:left="132"/>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2129610" cy="2990850"/>
                      <wp:effectExtent l="0" t="0" r="444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1"/>
                              <a:stretch/>
                            </pic:blipFill>
                            <pic:spPr bwMode="auto">
                              <a:xfrm>
                                <a:off x="0" y="0"/>
                                <a:ext cx="2140696" cy="30064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67.7pt;height:235.5pt;mso-wrap-distance-left:0.0pt;mso-wrap-distance-top:0.0pt;mso-wrap-distance-right:0.0pt;mso-wrap-distance-bottom:0.0pt;" stroked="false">
                      <v:path textboxrect="0,0,0,0"/>
                      <v:imagedata r:id="rId11" o:title=""/>
                    </v:shape>
                  </w:pict>
                </mc:Fallback>
              </mc:AlternateContent>
            </w:r>
            <w:r/>
          </w:p>
          <w:p>
            <w:pPr>
              <w:pStyle w:val="751"/>
              <w:rPr>
                <w:rFonts w:ascii="Times New Roman" w:hAnsi="Times New Roman" w:cs="Times New Roman"/>
                <w:sz w:val="24"/>
                <w:szCs w:val="24"/>
              </w:rPr>
            </w:pPr>
            <w:r>
              <w:rPr>
                <w:rFonts w:ascii="Times New Roman" w:hAnsi="Times New Roman" w:cs="Times New Roman"/>
                <w:sz w:val="24"/>
                <w:szCs w:val="24"/>
              </w:rPr>
            </w:r>
            <w:r/>
          </w:p>
          <w:p>
            <w:pPr>
              <w:pStyle w:val="751"/>
              <w:rPr>
                <w:rFonts w:ascii="Times New Roman" w:hAnsi="Times New Roman" w:cs="Times New Roman"/>
                <w:sz w:val="24"/>
                <w:szCs w:val="24"/>
              </w:rPr>
            </w:pPr>
            <w:r>
              <w:rPr>
                <w:rFonts w:ascii="Times New Roman" w:hAnsi="Times New Roman" w:cs="Times New Roman"/>
                <w:sz w:val="24"/>
                <w:szCs w:val="24"/>
              </w:rPr>
            </w:r>
            <w:r/>
          </w:p>
        </w:tc>
      </w:tr>
    </w:tbl>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73 115,10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сімдесят три тисячі сто п’ятнадцять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w:t>
      </w:r>
      <w:r>
        <w:rPr>
          <w:rFonts w:ascii="Times New Roman" w:hAnsi="Times New Roman" w:eastAsia="Times New Roman" w:cs="Times New Roman"/>
          <w:sz w:val="24"/>
          <w:szCs w:val="24"/>
          <w:lang w:eastAsia="ru-RU"/>
        </w:rPr>
        <w:t xml:space="preserve">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Pr>
          <w:rFonts w:ascii="Times New Roman" w:hAnsi="Times New Roman" w:eastAsia="Times New Roman" w:cs="Times New Roman"/>
          <w:sz w:val="24"/>
          <w:szCs w:val="24"/>
          <w:lang w:eastAsia="ru-RU"/>
        </w:rPr>
        <w:t xml:space="preserve">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160</cp:revision>
  <dcterms:created xsi:type="dcterms:W3CDTF">2022-11-01T12:47:00Z</dcterms:created>
  <dcterms:modified xsi:type="dcterms:W3CDTF">2024-04-15T12:18:46Z</dcterms:modified>
</cp:coreProperties>
</file>