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0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color w:val="000000" w:themeColor="text1"/>
          <w:sz w:val="24"/>
          <w:szCs w:val="24"/>
        </w:rPr>
        <w:t xml:space="preserve">Послуги з ремонту транспортного засобу</w:t>
      </w:r>
      <w:r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b w:val="0"/>
          <w:bCs w:val="0"/>
          <w:color w:val="000000" w:themeColor="text1"/>
          <w:sz w:val="24"/>
          <w:szCs w:val="24"/>
        </w:rPr>
        <w:t xml:space="preserve">за кодом ДК 021:2015 - </w:t>
      </w:r>
      <w:r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50110000-9 «Послуги з ремонту і технічного обслуговування </w:t>
      </w:r>
      <w:r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мототранспортних</w:t>
      </w:r>
      <w:r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засобів і супутнього обладнання»</w:t>
      </w:r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692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013879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ехнічних та якісних 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Послуги з ремонту транспортного засобу</w:t>
      </w:r>
      <w:r/>
    </w:p>
    <w:p>
      <w:pPr>
        <w:jc w:val="both"/>
        <w:spacing w:after="0" w:line="24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540"/>
        <w:jc w:val="center"/>
        <w:spacing w:after="0" w:line="240" w:lineRule="auto"/>
        <w:rPr>
          <w:rFonts w:ascii="Times New Roman" w:hAnsi="Times New Roman" w:eastAsia="Times New Roman" w:cs="Times New Roman"/>
          <w:b/>
          <w:lang w:eastAsia="ar-SA"/>
        </w:rPr>
      </w:pPr>
      <w:r>
        <w:rPr>
          <w:rFonts w:ascii="Times New Roman" w:hAnsi="Times New Roman" w:eastAsia="Times New Roman" w:cs="Times New Roman"/>
          <w:b/>
        </w:rPr>
        <w:t xml:space="preserve">ІНФОРМАЦІЯ ПРО НЕОБХІДНІ ТЕХНІЧНІ, ЯКІСНІ ТА КІЛЬКІСНІ ХАРАКТЕРИСТИКИ ПРЕДМЕТА ЗАКУПІВЛІ</w:t>
      </w:r>
      <w:r/>
    </w:p>
    <w:p>
      <w:pPr>
        <w:ind w:firstLine="540"/>
        <w:jc w:val="center"/>
        <w:spacing w:after="0" w:line="240" w:lineRule="auto"/>
        <w:rPr>
          <w:rFonts w:ascii="Times New Roman" w:hAnsi="Times New Roman" w:eastAsia="Times New Roman" w:cs="Times New Roman"/>
          <w:b/>
          <w:lang w:eastAsia="ar-SA"/>
        </w:rPr>
      </w:pPr>
      <w:r>
        <w:rPr>
          <w:rFonts w:ascii="Times New Roman" w:hAnsi="Times New Roman" w:eastAsia="Times New Roman" w:cs="Times New Roman"/>
          <w:b/>
          <w:lang w:eastAsia="ar-SA"/>
        </w:rPr>
      </w:r>
      <w:r/>
    </w:p>
    <w:p>
      <w:pPr>
        <w:ind w:firstLine="540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Послуги з ремонту транспортного засобу</w:t>
      </w: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 кодом ДК 021:2015 - </w:t>
      </w: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50110000-9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«Послуги з ремонту і технічного обслуговування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мототранспортних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засобів і супутнього обладнання»</w:t>
      </w:r>
      <w:r/>
    </w:p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p>
      <w:pPr>
        <w:pStyle w:val="692"/>
        <w:numPr>
          <w:ilvl w:val="0"/>
          <w:numId w:val="17"/>
        </w:num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Загальні відомості</w:t>
      </w:r>
      <w:r/>
    </w:p>
    <w:p>
      <w:pPr>
        <w:pStyle w:val="692"/>
        <w:ind w:left="709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  <w:r/>
    </w:p>
    <w:tbl>
      <w:tblPr>
        <w:tblW w:w="1020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88"/>
        <w:gridCol w:w="4144"/>
        <w:gridCol w:w="2356"/>
        <w:gridCol w:w="311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</w:t>
            </w:r>
            <w:r/>
          </w:p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Марка/модель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Реєстраційний</w:t>
            </w:r>
            <w:r/>
          </w:p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номер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Номер кузова/шасі/VIN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МАЗ-437040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АА5666ВЕ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ind w:firstLine="145"/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43704040002851</w:t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ind w:firstLine="567"/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Інформація про необхідні технічні, якісні та кількісні характеристики предмета закупівлі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uk-UA"/>
        </w:rPr>
        <w:t xml:space="preserve">1.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uk-UA"/>
        </w:rPr>
        <w:t xml:space="preserve">Виконавець повинен мати станцію технічного обслуговування з відповідною організаційною структурою (приймальний відділ, відділ запчастин, особу відповідальну за якість наданих послуг). </w:t>
      </w:r>
      <w:r/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 w:themeFill="background1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 w:themeFill="background1"/>
        </w:rPr>
        <w:t xml:space="preserve">Обсяг та найменування послуг повинні бути зазначені у розрахунку вартості тендерної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пропозиції за формою, визначеною у додатку № 1 до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тендерної документації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/>
    </w:p>
    <w:tbl>
      <w:tblPr>
        <w:tblStyle w:val="686"/>
        <w:tblW w:w="10015" w:type="dxa"/>
        <w:tblLook w:val="04A0" w:firstRow="1" w:lastRow="0" w:firstColumn="1" w:lastColumn="0" w:noHBand="0" w:noVBand="1"/>
      </w:tblPr>
      <w:tblGrid>
        <w:gridCol w:w="531"/>
        <w:gridCol w:w="7261"/>
        <w:gridCol w:w="1141"/>
        <w:gridCol w:w="1082"/>
      </w:tblGrid>
      <w:tr>
        <w:trPr/>
        <w:tc>
          <w:tcPr>
            <w:tcW w:w="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з/п</w:t>
            </w:r>
            <w:r/>
          </w:p>
        </w:tc>
        <w:tc>
          <w:tcPr>
            <w:tcW w:w="72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</w:t>
            </w:r>
            <w:r/>
          </w:p>
        </w:tc>
        <w:tc>
          <w:tcPr>
            <w:tcW w:w="11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Одиниця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виміру</w:t>
            </w:r>
            <w:r/>
          </w:p>
        </w:tc>
        <w:tc>
          <w:tcPr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К-ть одиниць</w:t>
            </w:r>
            <w:r/>
          </w:p>
        </w:tc>
      </w:tr>
      <w:tr>
        <w:trPr/>
        <w:tc>
          <w:tcPr>
            <w:tcW w:w="53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726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Діагностика зчеплення</w:t>
            </w:r>
            <w:r/>
          </w:p>
        </w:tc>
        <w:tc>
          <w:tcPr>
            <w:tcW w:w="11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W w:w="53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7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Знімання, встановлення карданного валу</w:t>
            </w:r>
            <w:r/>
          </w:p>
        </w:tc>
        <w:tc>
          <w:tcPr>
            <w:tcW w:w="11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W w:w="53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W w:w="726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Знімання, встановлення КПП</w:t>
            </w:r>
            <w:r/>
          </w:p>
        </w:tc>
        <w:tc>
          <w:tcPr>
            <w:tcW w:w="11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W w:w="53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W w:w="726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зчеплення 1-но дискового</w:t>
            </w:r>
            <w:r/>
          </w:p>
        </w:tc>
        <w:tc>
          <w:tcPr>
            <w:tcW w:w="11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W w:w="53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W w:w="726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приводу зчеплення</w:t>
            </w:r>
            <w:r/>
          </w:p>
        </w:tc>
        <w:tc>
          <w:tcPr>
            <w:tcW w:w="11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W w:w="53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W w:w="726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Муфта підшипника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вижимного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зборі </w:t>
            </w:r>
            <w:r/>
          </w:p>
        </w:tc>
        <w:tc>
          <w:tcPr>
            <w:tcW w:w="11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W w:w="53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/>
          </w:p>
        </w:tc>
        <w:tc>
          <w:tcPr>
            <w:tcW w:w="726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Мастило UNIL GREASE EP R2</w:t>
            </w:r>
            <w:r/>
          </w:p>
        </w:tc>
        <w:tc>
          <w:tcPr>
            <w:tcW w:w="11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W w:w="53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/>
          </w:p>
        </w:tc>
        <w:tc>
          <w:tcPr>
            <w:tcW w:w="726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Диск зчеплення ведений </w:t>
            </w:r>
            <w:r/>
          </w:p>
        </w:tc>
        <w:tc>
          <w:tcPr>
            <w:tcW w:w="11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W w:w="53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/>
          </w:p>
        </w:tc>
        <w:tc>
          <w:tcPr>
            <w:tcW w:w="726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нажимний</w:t>
            </w:r>
            <w:r/>
          </w:p>
        </w:tc>
        <w:tc>
          <w:tcPr>
            <w:tcW w:w="11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uk-UA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uk-UA"/>
        </w:rPr>
        <w:t xml:space="preserve">. Надання послуг з технічного обслуговування повинно відповідати вимогам державних стандартів, інструкції заводу-виробника автомобіля та має здійснюватися з додержанням вимог наступних нормативно-правових актів: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uk-UA"/>
        </w:rPr>
        <w:t xml:space="preserve">"Правил надання послуг з технічного обслуговування і ремонту колісних транспортних засобів", затверджених наказом Міністерства інфраструктури України 28.11.2014р. № 615;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uk-UA"/>
        </w:rPr>
        <w:t xml:space="preserve">"Положення про технічне обслуговування і ремонт дорожніх транспортних засобів автомобільного транспорту", затвердженого наказом Міністерства транспорту та зв’язку України від 30.03.98р. №102.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uk-UA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uk-UA"/>
        </w:rPr>
        <w:t xml:space="preserve">. Передача автомобіля Замовником Виконавцю для надання Послуг, а також отримання його після надання Послуг має оформлюватися відповідними актами, що підписуються уповноваженими представникам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uk-UA"/>
        </w:rPr>
        <w:t xml:space="preserve">и Замовника і Виконавця та скріплюються печатками Замовника і Виконавця. Відповідальність за збереження автомобіля на час надання послуг покладається на Виконавця. Виконавець повинен забезпечити відповідальне збереження автомобіля на період надання послуг.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uk-UA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uk-UA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Замовнику має бути надана можливість здійснення контролю шляхом присутності свого представника при проведенні ремонту автомобілів та встановлення запасних частин у відповідності до вимог Замовника.</w:t>
      </w:r>
      <w:r/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uk-UA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uk-UA"/>
        </w:rPr>
        <w:t xml:space="preserve">. </w:t>
      </w:r>
      <w:r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При наданні послуг відповідно до укладеного договору Виконавцем використовуються запасні частини (вузли, агрегати, матеріали тощо), які не були у вживанні (нові), оригінальні (або їх еквіваленти) та сертифіковані відповідно до вимог законодавства України.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uk-UA"/>
        </w:rPr>
        <w:t xml:space="preserve">Всі запчастини, що замінюються на нові, мають бути повернені Замовнику.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7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Для скорочення експлуатаційних витрат Замовника, дотримання принципу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максимальної економії та ефективності згідно з вимогами чинного законодавства (стаття 5 Закону України «Про публічні закупівлі») СТО повинна розміщуватися в м. Києві або </w:t>
      </w:r>
      <w:r>
        <w:rPr>
          <w:rFonts w:ascii="Times New Roman" w:hAnsi="Times New Roman" w:cs="Times New Roman"/>
          <w:sz w:val="26"/>
          <w:szCs w:val="26"/>
        </w:rPr>
        <w:t xml:space="preserve">в Київській області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відстані надання послуг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bCs/>
          <w:sz w:val="26"/>
          <w:szCs w:val="26"/>
        </w:rPr>
        <w:t xml:space="preserve">не більше 15 км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(за найкоротшим маршрутом по дорогам загального користування) від місцезнаходження Замовника (м. Київ, вул. </w:t>
      </w:r>
      <w:r>
        <w:rPr>
          <w:rFonts w:ascii="Times New Roman" w:hAnsi="Times New Roman" w:cs="Times New Roman"/>
          <w:sz w:val="26"/>
          <w:szCs w:val="26"/>
        </w:rPr>
        <w:t xml:space="preserve">Володимира </w:t>
      </w:r>
      <w:r>
        <w:rPr>
          <w:rFonts w:ascii="Times New Roman" w:hAnsi="Times New Roman" w:cs="Times New Roman"/>
          <w:sz w:val="26"/>
          <w:szCs w:val="26"/>
        </w:rPr>
        <w:t xml:space="preserve">Сікевича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28).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Учасник повинен надавати гарантію на надані послуги в порядку та строки, що пере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дбачені Правилами надання послуг з технічного обслуговування і ремонту колісних транспортних засобів, затвердженими наказом Міністерства інфраструктури України від 28.11.2014 № 615, зареєстрованими в Міністерстві юстиції України 17.12.2014 за № 1609/26386.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48 894,00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(сорок вісім тисяч вісімсот дев’яносто чотири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0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7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12"/>
  </w:num>
  <w:num w:numId="7">
    <w:abstractNumId w:val="6"/>
  </w:num>
  <w:num w:numId="8">
    <w:abstractNumId w:val="14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1"/>
    <w:link w:val="679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1"/>
    <w:link w:val="680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8"/>
    <w:next w:val="67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8"/>
    <w:next w:val="67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8"/>
    <w:next w:val="67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8"/>
    <w:next w:val="67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8"/>
    <w:next w:val="67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8"/>
    <w:next w:val="67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8"/>
    <w:next w:val="67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8"/>
    <w:next w:val="67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1"/>
    <w:link w:val="34"/>
    <w:uiPriority w:val="10"/>
    <w:rPr>
      <w:sz w:val="48"/>
      <w:szCs w:val="48"/>
    </w:rPr>
  </w:style>
  <w:style w:type="paragraph" w:styleId="36">
    <w:name w:val="Subtitle"/>
    <w:basedOn w:val="678"/>
    <w:next w:val="67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1"/>
    <w:link w:val="36"/>
    <w:uiPriority w:val="11"/>
    <w:rPr>
      <w:sz w:val="24"/>
      <w:szCs w:val="24"/>
    </w:rPr>
  </w:style>
  <w:style w:type="paragraph" w:styleId="38">
    <w:name w:val="Quote"/>
    <w:basedOn w:val="678"/>
    <w:next w:val="67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8"/>
    <w:next w:val="67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81"/>
    <w:link w:val="42"/>
    <w:uiPriority w:val="99"/>
  </w:style>
  <w:style w:type="character" w:styleId="45">
    <w:name w:val="Footer Char"/>
    <w:basedOn w:val="681"/>
    <w:link w:val="690"/>
    <w:uiPriority w:val="99"/>
  </w:style>
  <w:style w:type="paragraph" w:styleId="46">
    <w:name w:val="Caption"/>
    <w:basedOn w:val="678"/>
    <w:next w:val="6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0"/>
    <w:uiPriority w:val="99"/>
  </w:style>
  <w:style w:type="table" w:styleId="49">
    <w:name w:val="Table Grid Light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1"/>
    <w:uiPriority w:val="99"/>
    <w:unhideWhenUsed/>
    <w:rPr>
      <w:vertAlign w:val="superscript"/>
    </w:rPr>
  </w:style>
  <w:style w:type="paragraph" w:styleId="178">
    <w:name w:val="endnote text"/>
    <w:basedOn w:val="67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1"/>
    <w:uiPriority w:val="99"/>
    <w:semiHidden/>
    <w:unhideWhenUsed/>
    <w:rPr>
      <w:vertAlign w:val="superscript"/>
    </w:rPr>
  </w:style>
  <w:style w:type="paragraph" w:styleId="181">
    <w:name w:val="toc 1"/>
    <w:basedOn w:val="678"/>
    <w:next w:val="67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8"/>
    <w:next w:val="67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8"/>
    <w:next w:val="67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8"/>
    <w:next w:val="67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8"/>
    <w:next w:val="67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8"/>
    <w:next w:val="67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8"/>
    <w:next w:val="67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8"/>
    <w:next w:val="67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8"/>
    <w:next w:val="67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8"/>
    <w:next w:val="678"/>
    <w:uiPriority w:val="99"/>
    <w:unhideWhenUsed/>
    <w:pPr>
      <w:spacing w:after="0" w:afterAutospacing="0"/>
    </w:pPr>
  </w:style>
  <w:style w:type="paragraph" w:styleId="678" w:default="1">
    <w:name w:val="Normal"/>
    <w:qFormat/>
    <w:rPr>
      <w:lang w:val="uk-UA"/>
    </w:rPr>
  </w:style>
  <w:style w:type="paragraph" w:styleId="679">
    <w:name w:val="Heading 1"/>
    <w:basedOn w:val="678"/>
    <w:next w:val="678"/>
    <w:link w:val="705"/>
    <w:uiPriority w:val="9"/>
    <w:qFormat/>
    <w:pPr>
      <w:keepLines/>
      <w:keepNext/>
      <w:spacing w:before="240" w:after="0" w:line="240" w:lineRule="auto"/>
      <w:widowControl w:val="off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ru-RU" w:eastAsia="ru-RU"/>
    </w:rPr>
  </w:style>
  <w:style w:type="paragraph" w:styleId="680">
    <w:name w:val="Heading 2"/>
    <w:basedOn w:val="678"/>
    <w:link w:val="69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paragraph" w:styleId="684">
    <w:name w:val="List Paragraph"/>
    <w:basedOn w:val="678"/>
    <w:link w:val="68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5" w:customStyle="1">
    <w:name w:val="Абзац списку Знак"/>
    <w:link w:val="684"/>
    <w:uiPriority w:val="34"/>
    <w:rPr>
      <w:rFonts w:ascii="Calibri" w:hAnsi="Calibri" w:eastAsia="Calibri" w:cs="Calibri"/>
      <w:lang w:eastAsia="zh-CN"/>
    </w:rPr>
  </w:style>
  <w:style w:type="table" w:styleId="686">
    <w:name w:val="Table Grid"/>
    <w:basedOn w:val="68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7" w:customStyle="1">
    <w:name w:val="Сетка таблицы2"/>
    <w:basedOn w:val="682"/>
    <w:next w:val="686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8">
    <w:name w:val="Normal (Web)"/>
    <w:basedOn w:val="678"/>
    <w:link w:val="695"/>
    <w:unhideWhenUsed/>
    <w:qFormat/>
    <w:rPr>
      <w:rFonts w:ascii="Times New Roman" w:hAnsi="Times New Roman" w:cs="Times New Roman"/>
      <w:sz w:val="24"/>
      <w:szCs w:val="24"/>
    </w:rPr>
  </w:style>
  <w:style w:type="table" w:styleId="689" w:customStyle="1">
    <w:name w:val="Сетка таблицы1"/>
    <w:basedOn w:val="682"/>
    <w:next w:val="686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0">
    <w:name w:val="Footer"/>
    <w:basedOn w:val="678"/>
    <w:link w:val="691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1" w:customStyle="1">
    <w:name w:val="Нижній колонтитул Знак"/>
    <w:basedOn w:val="681"/>
    <w:link w:val="690"/>
    <w:uiPriority w:val="99"/>
    <w:rPr>
      <w:rFonts w:ascii="Calibri" w:hAnsi="Calibri" w:eastAsia="Calibri" w:cs="Calibri"/>
      <w:lang w:eastAsia="zh-CN"/>
    </w:rPr>
  </w:style>
  <w:style w:type="paragraph" w:styleId="692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3">
    <w:name w:val="Hyperlink"/>
    <w:basedOn w:val="681"/>
    <w:uiPriority w:val="99"/>
    <w:unhideWhenUsed/>
    <w:rPr>
      <w:color w:val="0563c1" w:themeColor="hyperlink"/>
      <w:u w:val="single"/>
    </w:rPr>
  </w:style>
  <w:style w:type="character" w:styleId="694" w:customStyle="1">
    <w:name w:val="xfm_93972720"/>
    <w:basedOn w:val="681"/>
  </w:style>
  <w:style w:type="character" w:styleId="695" w:customStyle="1">
    <w:name w:val="Звичайний (веб) Знак"/>
    <w:link w:val="688"/>
    <w:qFormat/>
    <w:rPr>
      <w:rFonts w:ascii="Times New Roman" w:hAnsi="Times New Roman" w:cs="Times New Roman"/>
      <w:sz w:val="24"/>
      <w:szCs w:val="24"/>
      <w:lang w:val="uk-UA"/>
    </w:rPr>
  </w:style>
  <w:style w:type="paragraph" w:styleId="696">
    <w:name w:val="Body Text 2"/>
    <w:basedOn w:val="678"/>
    <w:link w:val="697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697" w:customStyle="1">
    <w:name w:val="Основний текст 2 Знак"/>
    <w:basedOn w:val="681"/>
    <w:link w:val="69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8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699" w:customStyle="1">
    <w:name w:val="Заголовок 2 Знак"/>
    <w:basedOn w:val="681"/>
    <w:link w:val="680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0">
    <w:name w:val="No Spacing"/>
    <w:link w:val="701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1" w:customStyle="1">
    <w:name w:val="Без інтервалів Знак"/>
    <w:basedOn w:val="681"/>
    <w:link w:val="700"/>
    <w:uiPriority w:val="1"/>
    <w:rPr>
      <w:rFonts w:ascii="Calibri" w:hAnsi="Calibri" w:eastAsia="Calibri" w:cs="Times New Roman"/>
      <w:lang w:val="uk-UA"/>
    </w:rPr>
  </w:style>
  <w:style w:type="character" w:styleId="702" w:customStyle="1">
    <w:name w:val="Другое_"/>
    <w:basedOn w:val="681"/>
    <w:link w:val="703"/>
    <w:rPr>
      <w:rFonts w:ascii="Calibri" w:hAnsi="Calibri" w:eastAsia="Calibri" w:cs="Calibri"/>
      <w:sz w:val="20"/>
      <w:szCs w:val="20"/>
    </w:rPr>
  </w:style>
  <w:style w:type="paragraph" w:styleId="703" w:customStyle="1">
    <w:name w:val="Другое"/>
    <w:basedOn w:val="678"/>
    <w:link w:val="702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character" w:styleId="704" w:customStyle="1">
    <w:name w:val="mr-white"/>
    <w:basedOn w:val="681"/>
  </w:style>
  <w:style w:type="character" w:styleId="705" w:customStyle="1">
    <w:name w:val="Заголовок 1 Знак"/>
    <w:basedOn w:val="681"/>
    <w:link w:val="679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92</cp:revision>
  <dcterms:created xsi:type="dcterms:W3CDTF">2022-11-01T12:47:00Z</dcterms:created>
  <dcterms:modified xsi:type="dcterms:W3CDTF">2023-05-30T10:46:34Z</dcterms:modified>
</cp:coreProperties>
</file>