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6B0CA93" w:rsidR="00E1484E" w:rsidRPr="004E60A2"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E60A2" w:rsidRPr="004E60A2">
        <w:rPr>
          <w:b w:val="0"/>
          <w:bCs w:val="0"/>
          <w:sz w:val="24"/>
          <w:szCs w:val="24"/>
        </w:rPr>
        <w:t>Створення системи управління інформаційною безпекою (СУІБ) у відповідності до ДСТУ ISO/IEC 27001:2023 та проведення випробування на вразливості зовнішніх і внутрішніх периметрів інформаційних ресурсів за ДК 021:2015 72810000-1 — Послуги з комп’ютерного аудиту</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71CDA6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796D72">
        <w:rPr>
          <w:rFonts w:ascii="Times New Roman" w:hAnsi="Times New Roman" w:cs="Times New Roman"/>
          <w:sz w:val="24"/>
          <w:szCs w:val="24"/>
        </w:rPr>
        <w:t>5</w:t>
      </w:r>
      <w:r w:rsidR="001944C8">
        <w:rPr>
          <w:rFonts w:ascii="Times New Roman" w:hAnsi="Times New Roman" w:cs="Times New Roman"/>
          <w:sz w:val="24"/>
          <w:szCs w:val="24"/>
        </w:rPr>
        <w:t>-</w:t>
      </w:r>
      <w:r w:rsidR="00796D72">
        <w:rPr>
          <w:rFonts w:ascii="Times New Roman" w:hAnsi="Times New Roman" w:cs="Times New Roman"/>
          <w:sz w:val="24"/>
          <w:szCs w:val="24"/>
        </w:rPr>
        <w:t>19</w:t>
      </w:r>
      <w:r w:rsidR="00F60A0F" w:rsidRPr="00F90C90">
        <w:rPr>
          <w:rFonts w:ascii="Times New Roman" w:hAnsi="Times New Roman" w:cs="Times New Roman"/>
          <w:sz w:val="24"/>
          <w:szCs w:val="24"/>
        </w:rPr>
        <w:t>-</w:t>
      </w:r>
      <w:r w:rsidR="004E60A2">
        <w:rPr>
          <w:rFonts w:ascii="Times New Roman" w:hAnsi="Times New Roman" w:cs="Times New Roman"/>
          <w:sz w:val="24"/>
          <w:szCs w:val="24"/>
        </w:rPr>
        <w:t>013650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63DF913"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4E60A2" w:rsidRPr="004E60A2">
        <w:rPr>
          <w:b w:val="0"/>
          <w:bCs w:val="0"/>
          <w:sz w:val="24"/>
          <w:szCs w:val="24"/>
        </w:rPr>
        <w:t>Створення системи управління інформаційною безпекою (СУІБ) у відповідності до ДСТУ ISO/IEC 27001:2023 та проведення випробування на вразливості зовнішніх і внутрішніх периметрів інформаційних ресурсів за ДК 021:2015 72810000-1 — Послуги з комп’ютерного аудиту</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74FF283E" w14:textId="77777777" w:rsidR="004E60A2" w:rsidRPr="004E60A2" w:rsidRDefault="004E60A2" w:rsidP="004E60A2">
      <w:pPr>
        <w:spacing w:after="0" w:line="240" w:lineRule="auto"/>
        <w:jc w:val="center"/>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t>Загальні відомості:</w:t>
      </w:r>
    </w:p>
    <w:p w14:paraId="7BB7C190"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t>Назва послуги</w:t>
      </w:r>
      <w:r w:rsidRPr="004E60A2">
        <w:rPr>
          <w:rFonts w:ascii="Times New Roman" w:hAnsi="Times New Roman" w:cs="Times New Roman"/>
          <w:bCs/>
          <w:sz w:val="24"/>
          <w:szCs w:val="24"/>
          <w:lang w:eastAsia="uk-UA"/>
        </w:rPr>
        <w:t xml:space="preserve">: </w:t>
      </w:r>
      <w:r w:rsidRPr="004E60A2">
        <w:rPr>
          <w:rFonts w:ascii="Times New Roman" w:hAnsi="Times New Roman" w:cs="Times New Roman"/>
          <w:sz w:val="24"/>
          <w:szCs w:val="24"/>
          <w:lang w:eastAsia="uk-UA"/>
        </w:rPr>
        <w:t>створення системи управління інформаційною безпекою (СУІБ) відповідно до вимог ДСТУ ISO/IEC 27001:2023 та проведення випробувань на вразливості інформаційних ресурсів та інформаційно-комунікаційних систем</w:t>
      </w:r>
    </w:p>
    <w:p w14:paraId="5389B902"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t>Мета послуги:</w:t>
      </w:r>
      <w:r w:rsidRPr="004E60A2">
        <w:rPr>
          <w:rFonts w:ascii="Times New Roman" w:hAnsi="Times New Roman" w:cs="Times New Roman"/>
          <w:sz w:val="24"/>
          <w:szCs w:val="24"/>
          <w:lang w:eastAsia="uk-UA"/>
        </w:rPr>
        <w:t xml:space="preserve"> Забезпечити створення системи управління інформаційною безпекою (СУІБ) у відповідності до ДСТУ ISO/IEC 27001:2023, а також провести випробування на вразливості зовнішніх і внутрішніх периметрів інформаційних ресурсів.</w:t>
      </w:r>
    </w:p>
    <w:p w14:paraId="658B59C4" w14:textId="77777777" w:rsidR="004E60A2" w:rsidRPr="004E60A2" w:rsidRDefault="004E60A2" w:rsidP="004E60A2">
      <w:pPr>
        <w:keepNext/>
        <w:pBdr>
          <w:top w:val="nil"/>
          <w:left w:val="nil"/>
          <w:bottom w:val="nil"/>
          <w:right w:val="nil"/>
          <w:between w:val="nil"/>
        </w:pBdr>
        <w:shd w:val="clear" w:color="auto" w:fill="FFFFFF"/>
        <w:spacing w:after="0" w:line="240" w:lineRule="auto"/>
        <w:jc w:val="both"/>
        <w:rPr>
          <w:rFonts w:ascii="Times New Roman" w:eastAsia="Calibri" w:hAnsi="Times New Roman" w:cs="Times New Roman"/>
          <w:bCs/>
          <w:sz w:val="24"/>
          <w:szCs w:val="24"/>
        </w:rPr>
      </w:pPr>
      <w:r w:rsidRPr="004E60A2">
        <w:rPr>
          <w:rFonts w:ascii="Times New Roman" w:eastAsia="Calibri" w:hAnsi="Times New Roman" w:cs="Times New Roman"/>
          <w:bCs/>
          <w:sz w:val="24"/>
          <w:szCs w:val="24"/>
        </w:rPr>
        <w:t xml:space="preserve">Послуги надаються в межах області дії СУІБ в інформаційно-комунікаційній системі 112 (далі - Система), призначення якої полягає у забезпеченні безперервного </w:t>
      </w:r>
      <w:r w:rsidRPr="004E60A2">
        <w:rPr>
          <w:rFonts w:ascii="Times New Roman" w:eastAsia="Verdana" w:hAnsi="Times New Roman" w:cs="Times New Roman"/>
          <w:color w:val="000000"/>
          <w:sz w:val="24"/>
          <w:szCs w:val="24"/>
        </w:rPr>
        <w:t>повсякденного функціонування системи 112</w:t>
      </w:r>
      <w:r w:rsidRPr="004E60A2">
        <w:rPr>
          <w:rFonts w:ascii="Times New Roman" w:eastAsia="Calibri" w:hAnsi="Times New Roman" w:cs="Times New Roman"/>
          <w:bCs/>
          <w:sz w:val="24"/>
          <w:szCs w:val="24"/>
        </w:rPr>
        <w:t xml:space="preserve"> в цілях</w:t>
      </w:r>
      <w:r w:rsidRPr="004E60A2">
        <w:rPr>
          <w:rFonts w:ascii="Times New Roman" w:eastAsia="Verdana" w:hAnsi="Times New Roman" w:cs="Times New Roman"/>
          <w:color w:val="000000"/>
          <w:sz w:val="24"/>
          <w:szCs w:val="24"/>
        </w:rPr>
        <w:t xml:space="preserve">: оперативного цілодобового невідкладного реагування на екстрені комунікації, їх обробки, зберігання, передачі інформації про них відповідним </w:t>
      </w:r>
      <w:proofErr w:type="spellStart"/>
      <w:r w:rsidRPr="004E60A2">
        <w:rPr>
          <w:rFonts w:ascii="Times New Roman" w:eastAsia="Verdana" w:hAnsi="Times New Roman" w:cs="Times New Roman"/>
          <w:color w:val="000000"/>
          <w:sz w:val="24"/>
          <w:szCs w:val="24"/>
        </w:rPr>
        <w:t>оперативно</w:t>
      </w:r>
      <w:proofErr w:type="spellEnd"/>
      <w:r w:rsidRPr="004E60A2">
        <w:rPr>
          <w:rFonts w:ascii="Times New Roman" w:eastAsia="Verdana" w:hAnsi="Times New Roman" w:cs="Times New Roman"/>
          <w:color w:val="000000"/>
          <w:sz w:val="24"/>
          <w:szCs w:val="24"/>
        </w:rPr>
        <w:t>-диспетчерським службам, які доводять її до відома відповідних підрозділів екстреної допомоги населенню для надання такої допомоги</w:t>
      </w:r>
      <w:r w:rsidRPr="004E60A2">
        <w:rPr>
          <w:rFonts w:ascii="Times New Roman" w:eastAsia="Calibri" w:hAnsi="Times New Roman" w:cs="Times New Roman"/>
          <w:bCs/>
          <w:sz w:val="24"/>
          <w:szCs w:val="24"/>
        </w:rPr>
        <w:t>.</w:t>
      </w:r>
    </w:p>
    <w:p w14:paraId="2DFF9E74" w14:textId="77777777" w:rsidR="004E60A2" w:rsidRPr="004E60A2" w:rsidRDefault="004E60A2" w:rsidP="004E60A2">
      <w:pPr>
        <w:keepNext/>
        <w:pBdr>
          <w:top w:val="nil"/>
          <w:left w:val="nil"/>
          <w:bottom w:val="nil"/>
          <w:right w:val="nil"/>
          <w:between w:val="nil"/>
        </w:pBdr>
        <w:shd w:val="clear" w:color="auto" w:fill="FFFFFF"/>
        <w:spacing w:after="0" w:line="240" w:lineRule="auto"/>
        <w:jc w:val="both"/>
        <w:rPr>
          <w:rFonts w:ascii="Times New Roman" w:eastAsia="Verdana" w:hAnsi="Times New Roman" w:cs="Times New Roman"/>
          <w:color w:val="000000"/>
          <w:sz w:val="24"/>
          <w:szCs w:val="24"/>
        </w:rPr>
      </w:pPr>
      <w:r w:rsidRPr="004E60A2">
        <w:rPr>
          <w:rFonts w:ascii="Times New Roman" w:eastAsia="Calibri" w:hAnsi="Times New Roman" w:cs="Times New Roman"/>
          <w:bCs/>
          <w:sz w:val="24"/>
          <w:szCs w:val="24"/>
        </w:rPr>
        <w:t xml:space="preserve">До складу Системи належить організаційна та інформаційна інфраструктура в цілях забезпечення </w:t>
      </w:r>
      <w:r w:rsidRPr="004E60A2">
        <w:rPr>
          <w:rFonts w:ascii="Times New Roman" w:eastAsia="Verdana" w:hAnsi="Times New Roman" w:cs="Times New Roman"/>
          <w:color w:val="000000"/>
          <w:sz w:val="24"/>
          <w:szCs w:val="24"/>
        </w:rPr>
        <w:t xml:space="preserve">функціонування системи 112, </w:t>
      </w:r>
      <w:r w:rsidRPr="004E60A2">
        <w:rPr>
          <w:rFonts w:ascii="Times New Roman" w:eastAsia="Calibri" w:hAnsi="Times New Roman" w:cs="Times New Roman"/>
          <w:iCs/>
          <w:sz w:val="24"/>
          <w:szCs w:val="24"/>
        </w:rPr>
        <w:t>(локації: м. Київ, м. Львів, м. Дніпро, м. Одеса)</w:t>
      </w:r>
      <w:r w:rsidRPr="004E60A2">
        <w:rPr>
          <w:rFonts w:ascii="Times New Roman" w:eastAsia="Verdana" w:hAnsi="Times New Roman" w:cs="Times New Roman"/>
          <w:color w:val="000000"/>
          <w:sz w:val="24"/>
          <w:szCs w:val="24"/>
        </w:rPr>
        <w:t>.</w:t>
      </w:r>
    </w:p>
    <w:p w14:paraId="426E9159" w14:textId="77777777" w:rsidR="004E60A2" w:rsidRPr="004E60A2" w:rsidRDefault="004E60A2" w:rsidP="004E60A2">
      <w:pPr>
        <w:spacing w:after="0" w:line="240" w:lineRule="auto"/>
        <w:jc w:val="center"/>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t>Нормативні посилання:</w:t>
      </w:r>
    </w:p>
    <w:p w14:paraId="26CAC891"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sz w:val="24"/>
          <w:szCs w:val="24"/>
          <w:lang w:val="x-none"/>
        </w:rPr>
      </w:pPr>
      <w:r w:rsidRPr="004E60A2">
        <w:rPr>
          <w:rFonts w:ascii="Times New Roman" w:eastAsia="Calibri" w:hAnsi="Times New Roman" w:cs="Times New Roman"/>
          <w:i/>
          <w:sz w:val="24"/>
          <w:szCs w:val="24"/>
          <w:lang w:val="x-none"/>
        </w:rPr>
        <w:t xml:space="preserve">ДСТУ ISO/IEC 27001:2023 «Інформаційна безпека, </w:t>
      </w:r>
      <w:proofErr w:type="spellStart"/>
      <w:r w:rsidRPr="004E60A2">
        <w:rPr>
          <w:rFonts w:ascii="Times New Roman" w:eastAsia="Calibri" w:hAnsi="Times New Roman" w:cs="Times New Roman"/>
          <w:i/>
          <w:sz w:val="24"/>
          <w:szCs w:val="24"/>
          <w:lang w:val="x-none"/>
        </w:rPr>
        <w:t>кібербезпека</w:t>
      </w:r>
      <w:proofErr w:type="spellEnd"/>
      <w:r w:rsidRPr="004E60A2">
        <w:rPr>
          <w:rFonts w:ascii="Times New Roman" w:eastAsia="Calibri" w:hAnsi="Times New Roman" w:cs="Times New Roman"/>
          <w:i/>
          <w:sz w:val="24"/>
          <w:szCs w:val="24"/>
          <w:lang w:val="x-none"/>
        </w:rPr>
        <w:t xml:space="preserve"> та захист конфіденційності. Системи керування інформаційною безпекою. Вимоги (ISO/IEC 27001:2022, IDT)»</w:t>
      </w:r>
    </w:p>
    <w:p w14:paraId="4C7D3638"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 xml:space="preserve">ДСТУ ISO/IEC 27002:2024 «Інформаційна безпека, </w:t>
      </w:r>
      <w:proofErr w:type="spellStart"/>
      <w:r w:rsidRPr="004E60A2">
        <w:rPr>
          <w:rFonts w:ascii="Times New Roman" w:eastAsia="Calibri" w:hAnsi="Times New Roman" w:cs="Times New Roman"/>
          <w:i/>
          <w:sz w:val="24"/>
          <w:szCs w:val="24"/>
        </w:rPr>
        <w:t>кібербезпека</w:t>
      </w:r>
      <w:proofErr w:type="spellEnd"/>
      <w:r w:rsidRPr="004E60A2">
        <w:rPr>
          <w:rFonts w:ascii="Times New Roman" w:eastAsia="Calibri" w:hAnsi="Times New Roman" w:cs="Times New Roman"/>
          <w:i/>
          <w:sz w:val="24"/>
          <w:szCs w:val="24"/>
        </w:rPr>
        <w:t xml:space="preserve"> та захист конфіденційності. Заходи забезпечення інформаційної безпеки»;</w:t>
      </w:r>
    </w:p>
    <w:p w14:paraId="7A95F07C"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 xml:space="preserve">ДСТУ ISO/IEC 27005:2023 «Інформаційна безпека, </w:t>
      </w:r>
      <w:proofErr w:type="spellStart"/>
      <w:r w:rsidRPr="004E60A2">
        <w:rPr>
          <w:rFonts w:ascii="Times New Roman" w:eastAsia="Calibri" w:hAnsi="Times New Roman" w:cs="Times New Roman"/>
          <w:i/>
          <w:sz w:val="24"/>
          <w:szCs w:val="24"/>
        </w:rPr>
        <w:t>кібербезпека</w:t>
      </w:r>
      <w:proofErr w:type="spellEnd"/>
      <w:r w:rsidRPr="004E60A2">
        <w:rPr>
          <w:rFonts w:ascii="Times New Roman" w:eastAsia="Calibri" w:hAnsi="Times New Roman" w:cs="Times New Roman"/>
          <w:i/>
          <w:sz w:val="24"/>
          <w:szCs w:val="24"/>
        </w:rPr>
        <w:t xml:space="preserve"> та захист конфіденційності. Настанова щодо керування ризиками інформаційної безпеки»;</w:t>
      </w:r>
    </w:p>
    <w:p w14:paraId="6537C5B2"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ДСТУ ISO 19011:2019 «Настанова щодо проведення аудитів систем управління»;</w:t>
      </w:r>
    </w:p>
    <w:p w14:paraId="27A83939"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ДСТУ ISO/IEC 27701:2022 «Методи безпеки. Розширення до ISO/IEC 27001 та ISO/IEC 27002 для керування конфіденційною інформацією. Вимоги та настанови»;</w:t>
      </w:r>
    </w:p>
    <w:p w14:paraId="7BA80756"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lastRenderedPageBreak/>
        <w:t>ДСТУ ISO/IEC 27035-1:2024 Інформаційні технології. Методи захисту. Керування інцидентами інформаційної безпеки. Частина 1. Принципи та процес (ISO/IEC 27035-1:2023, IDT);</w:t>
      </w:r>
    </w:p>
    <w:p w14:paraId="782E60F4"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 xml:space="preserve">NIST </w:t>
      </w:r>
      <w:proofErr w:type="spellStart"/>
      <w:r w:rsidRPr="004E60A2">
        <w:rPr>
          <w:rFonts w:ascii="Times New Roman" w:eastAsia="Calibri" w:hAnsi="Times New Roman" w:cs="Times New Roman"/>
          <w:i/>
          <w:sz w:val="24"/>
          <w:szCs w:val="24"/>
        </w:rPr>
        <w:t>Cybersecurity</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Framework</w:t>
      </w:r>
      <w:proofErr w:type="spellEnd"/>
      <w:r w:rsidRPr="004E60A2">
        <w:rPr>
          <w:rFonts w:ascii="Times New Roman" w:eastAsia="Calibri" w:hAnsi="Times New Roman" w:cs="Times New Roman"/>
          <w:i/>
          <w:sz w:val="24"/>
          <w:szCs w:val="24"/>
        </w:rPr>
        <w:t xml:space="preserve"> (CSF) 2.0, </w:t>
      </w:r>
      <w:proofErr w:type="spellStart"/>
      <w:r w:rsidRPr="004E60A2">
        <w:rPr>
          <w:rFonts w:ascii="Times New Roman" w:eastAsia="Calibri" w:hAnsi="Times New Roman" w:cs="Times New Roman"/>
          <w:i/>
          <w:sz w:val="24"/>
          <w:szCs w:val="24"/>
        </w:rPr>
        <w:t>February</w:t>
      </w:r>
      <w:proofErr w:type="spellEnd"/>
      <w:r w:rsidRPr="004E60A2">
        <w:rPr>
          <w:rFonts w:ascii="Times New Roman" w:eastAsia="Calibri" w:hAnsi="Times New Roman" w:cs="Times New Roman"/>
          <w:i/>
          <w:sz w:val="24"/>
          <w:szCs w:val="24"/>
        </w:rPr>
        <w:t xml:space="preserve"> 26, 2024 (далі – NIST CSF 2.0); </w:t>
      </w:r>
    </w:p>
    <w:p w14:paraId="264A7471"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 xml:space="preserve">NIST </w:t>
      </w:r>
      <w:proofErr w:type="spellStart"/>
      <w:r w:rsidRPr="004E60A2">
        <w:rPr>
          <w:rFonts w:ascii="Times New Roman" w:eastAsia="Calibri" w:hAnsi="Times New Roman" w:cs="Times New Roman"/>
          <w:i/>
          <w:sz w:val="24"/>
          <w:szCs w:val="24"/>
        </w:rPr>
        <w:t>Special</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Publication</w:t>
      </w:r>
      <w:proofErr w:type="spellEnd"/>
      <w:r w:rsidRPr="004E60A2">
        <w:rPr>
          <w:rFonts w:ascii="Times New Roman" w:eastAsia="Calibri" w:hAnsi="Times New Roman" w:cs="Times New Roman"/>
          <w:i/>
          <w:sz w:val="24"/>
          <w:szCs w:val="24"/>
        </w:rPr>
        <w:t xml:space="preserve"> 800-53 </w:t>
      </w:r>
      <w:proofErr w:type="spellStart"/>
      <w:r w:rsidRPr="004E60A2">
        <w:rPr>
          <w:rFonts w:ascii="Times New Roman" w:eastAsia="Calibri" w:hAnsi="Times New Roman" w:cs="Times New Roman"/>
          <w:i/>
          <w:sz w:val="24"/>
          <w:szCs w:val="24"/>
        </w:rPr>
        <w:t>Revision</w:t>
      </w:r>
      <w:proofErr w:type="spellEnd"/>
      <w:r w:rsidRPr="004E60A2">
        <w:rPr>
          <w:rFonts w:ascii="Times New Roman" w:eastAsia="Calibri" w:hAnsi="Times New Roman" w:cs="Times New Roman"/>
          <w:i/>
          <w:sz w:val="24"/>
          <w:szCs w:val="24"/>
        </w:rPr>
        <w:t xml:space="preserve"> 5 “</w:t>
      </w:r>
      <w:proofErr w:type="spellStart"/>
      <w:r w:rsidRPr="004E60A2">
        <w:rPr>
          <w:rFonts w:ascii="Times New Roman" w:eastAsia="Calibri" w:hAnsi="Times New Roman" w:cs="Times New Roman"/>
          <w:i/>
          <w:sz w:val="24"/>
          <w:szCs w:val="24"/>
        </w:rPr>
        <w:t>Security</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and</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Privacy</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Controls</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for</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Information</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Systems</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and</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Organizations</w:t>
      </w:r>
      <w:proofErr w:type="spellEnd"/>
      <w:r w:rsidRPr="004E60A2">
        <w:rPr>
          <w:rFonts w:ascii="Times New Roman" w:eastAsia="Calibri" w:hAnsi="Times New Roman" w:cs="Times New Roman"/>
          <w:i/>
          <w:sz w:val="24"/>
          <w:szCs w:val="24"/>
        </w:rPr>
        <w:t>” далі – NIST 800-53);</w:t>
      </w:r>
    </w:p>
    <w:p w14:paraId="1161DA03"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Регламент Європейського Парламенту і Ради (ЄС) 2016/679 від 27 квітня 2016 року (</w:t>
      </w:r>
      <w:proofErr w:type="spellStart"/>
      <w:r w:rsidRPr="004E60A2">
        <w:rPr>
          <w:rFonts w:ascii="Times New Roman" w:eastAsia="Calibri" w:hAnsi="Times New Roman" w:cs="Times New Roman"/>
          <w:i/>
          <w:sz w:val="24"/>
          <w:szCs w:val="24"/>
        </w:rPr>
        <w:t>General</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Data</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Protection</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Regulation</w:t>
      </w:r>
      <w:proofErr w:type="spellEnd"/>
      <w:r w:rsidRPr="004E60A2">
        <w:rPr>
          <w:rFonts w:ascii="Times New Roman" w:eastAsia="Calibri" w:hAnsi="Times New Roman" w:cs="Times New Roman"/>
          <w:i/>
          <w:sz w:val="24"/>
          <w:szCs w:val="24"/>
        </w:rPr>
        <w:t xml:space="preserve"> - GDPR);</w:t>
      </w:r>
    </w:p>
    <w:p w14:paraId="71F55916"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Закон України «Про інформацію»;</w:t>
      </w:r>
    </w:p>
    <w:p w14:paraId="6C67A371"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Закон України «Про захист персональних даних»;</w:t>
      </w:r>
    </w:p>
    <w:p w14:paraId="5EF60908"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Закон України «Про доступ до публічної інформації»;</w:t>
      </w:r>
    </w:p>
    <w:p w14:paraId="1FC54FCD"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Закон України «Про захист інформації в інформаційно-комунікаційних системах»;</w:t>
      </w:r>
    </w:p>
    <w:p w14:paraId="6F93216B"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 xml:space="preserve">Закон України «Про основні засади забезпечення </w:t>
      </w:r>
      <w:proofErr w:type="spellStart"/>
      <w:r w:rsidRPr="004E60A2">
        <w:rPr>
          <w:rFonts w:ascii="Times New Roman" w:eastAsia="Calibri" w:hAnsi="Times New Roman" w:cs="Times New Roman"/>
          <w:i/>
          <w:sz w:val="24"/>
          <w:szCs w:val="24"/>
        </w:rPr>
        <w:t>кібербезпеки</w:t>
      </w:r>
      <w:proofErr w:type="spellEnd"/>
      <w:r w:rsidRPr="004E60A2">
        <w:rPr>
          <w:rFonts w:ascii="Times New Roman" w:eastAsia="Calibri" w:hAnsi="Times New Roman" w:cs="Times New Roman"/>
          <w:i/>
          <w:sz w:val="24"/>
          <w:szCs w:val="24"/>
        </w:rPr>
        <w:t xml:space="preserve"> України»;</w:t>
      </w:r>
    </w:p>
    <w:p w14:paraId="7A75FDAE"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Закон України «Про електронну ідентифікацію та електронні довірчі послуги»;</w:t>
      </w:r>
    </w:p>
    <w:p w14:paraId="1B91E723"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hAnsi="Times New Roman" w:cs="Times New Roman"/>
          <w:i/>
          <w:sz w:val="24"/>
          <w:szCs w:val="24"/>
        </w:rPr>
        <w:t xml:space="preserve">Закон України “Про електронні документи та електронний документообіг”; </w:t>
      </w:r>
    </w:p>
    <w:p w14:paraId="475CE4FC" w14:textId="77777777" w:rsidR="004E60A2" w:rsidRPr="004E60A2" w:rsidRDefault="004E60A2" w:rsidP="004E60A2">
      <w:pPr>
        <w:numPr>
          <w:ilvl w:val="0"/>
          <w:numId w:val="38"/>
        </w:numPr>
        <w:spacing w:after="0" w:line="240" w:lineRule="auto"/>
        <w:ind w:left="426"/>
        <w:contextualSpacing/>
        <w:jc w:val="both"/>
        <w:rPr>
          <w:rFonts w:ascii="Times New Roman" w:hAnsi="Times New Roman" w:cs="Times New Roman"/>
          <w:i/>
          <w:sz w:val="24"/>
          <w:szCs w:val="24"/>
        </w:rPr>
      </w:pPr>
      <w:r w:rsidRPr="004E60A2">
        <w:rPr>
          <w:rFonts w:ascii="Times New Roman" w:hAnsi="Times New Roman" w:cs="Times New Roman"/>
          <w:i/>
          <w:sz w:val="24"/>
          <w:szCs w:val="24"/>
        </w:rPr>
        <w:t xml:space="preserve">Постанова Кабінету Міністрів України від 19.06.2019 №518 «Про затвердження Загальних вимог до </w:t>
      </w:r>
      <w:proofErr w:type="spellStart"/>
      <w:r w:rsidRPr="004E60A2">
        <w:rPr>
          <w:rFonts w:ascii="Times New Roman" w:hAnsi="Times New Roman" w:cs="Times New Roman"/>
          <w:i/>
          <w:sz w:val="24"/>
          <w:szCs w:val="24"/>
        </w:rPr>
        <w:t>кіберзахисту</w:t>
      </w:r>
      <w:proofErr w:type="spellEnd"/>
      <w:r w:rsidRPr="004E60A2">
        <w:rPr>
          <w:rFonts w:ascii="Times New Roman" w:hAnsi="Times New Roman" w:cs="Times New Roman"/>
          <w:i/>
          <w:sz w:val="24"/>
          <w:szCs w:val="24"/>
        </w:rPr>
        <w:t xml:space="preserve"> об’єктів критичної інформаційної інфраструктури» зі змінами внесеними згідно з Постановою КМ України № 1470 від 13.11.2025;</w:t>
      </w:r>
    </w:p>
    <w:p w14:paraId="51C96506"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Постанова Кабінету Міністрів України від 29.03.2006 № 373 «Про затвердження Правил забезпечення захисту інформації в інформаційних, комунікаційних та інформаційно-комунікаційних системах»;</w:t>
      </w:r>
    </w:p>
    <w:p w14:paraId="363569FA"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Постанова Кабінету Міністрів України від 26.11.2025 № 1531 «Про затвердження Мінімальних вимог до захисту інформаційних, електронних комунікаційних, інформаційно-комунікаційних та технологічних систем»;</w:t>
      </w:r>
    </w:p>
    <w:p w14:paraId="3A2F6AA5"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 xml:space="preserve">Постанова Кабінету Міністрів України від 26.11.2025 № 1533 «Деякі питання реагування на </w:t>
      </w:r>
      <w:proofErr w:type="spellStart"/>
      <w:r w:rsidRPr="004E60A2">
        <w:rPr>
          <w:rFonts w:ascii="Times New Roman" w:eastAsia="Calibri" w:hAnsi="Times New Roman" w:cs="Times New Roman"/>
          <w:i/>
          <w:sz w:val="24"/>
          <w:szCs w:val="24"/>
        </w:rPr>
        <w:t>кіберінциденти</w:t>
      </w:r>
      <w:proofErr w:type="spellEnd"/>
      <w:r w:rsidRPr="004E60A2">
        <w:rPr>
          <w:rFonts w:ascii="Times New Roman" w:eastAsia="Calibri" w:hAnsi="Times New Roman" w:cs="Times New Roman"/>
          <w:i/>
          <w:sz w:val="24"/>
          <w:szCs w:val="24"/>
        </w:rPr>
        <w:t xml:space="preserve">, кібератаки та </w:t>
      </w:r>
      <w:proofErr w:type="spellStart"/>
      <w:r w:rsidRPr="004E60A2">
        <w:rPr>
          <w:rFonts w:ascii="Times New Roman" w:eastAsia="Calibri" w:hAnsi="Times New Roman" w:cs="Times New Roman"/>
          <w:i/>
          <w:sz w:val="24"/>
          <w:szCs w:val="24"/>
        </w:rPr>
        <w:t>кіберзагрози</w:t>
      </w:r>
      <w:proofErr w:type="spellEnd"/>
      <w:r w:rsidRPr="004E60A2">
        <w:rPr>
          <w:rFonts w:ascii="Times New Roman" w:eastAsia="Calibri" w:hAnsi="Times New Roman" w:cs="Times New Roman"/>
          <w:i/>
          <w:sz w:val="24"/>
          <w:szCs w:val="24"/>
        </w:rPr>
        <w:t>»;</w:t>
      </w:r>
    </w:p>
    <w:p w14:paraId="481B1914"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 xml:space="preserve">Постанова Кабінету Міністрів України від 08.10.2025 № 1281 «Про затвердження Порядку проведення інструктажів та систематичних тренінгів щодо </w:t>
      </w:r>
      <w:proofErr w:type="spellStart"/>
      <w:r w:rsidRPr="004E60A2">
        <w:rPr>
          <w:rFonts w:ascii="Times New Roman" w:eastAsia="Calibri" w:hAnsi="Times New Roman" w:cs="Times New Roman"/>
          <w:i/>
          <w:sz w:val="24"/>
          <w:szCs w:val="24"/>
        </w:rPr>
        <w:t>кібергігієни</w:t>
      </w:r>
      <w:proofErr w:type="spellEnd"/>
      <w:r w:rsidRPr="004E60A2">
        <w:rPr>
          <w:rFonts w:ascii="Times New Roman" w:eastAsia="Calibri" w:hAnsi="Times New Roman" w:cs="Times New Roman"/>
          <w:i/>
          <w:sz w:val="24"/>
          <w:szCs w:val="24"/>
        </w:rPr>
        <w:t>»;</w:t>
      </w:r>
    </w:p>
    <w:p w14:paraId="529DE5A3"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 xml:space="preserve">Постанова Кабінету Міністрів України від 29.12.2021 № 1426 «Про затвердження Положення про організаційно-технічну модель </w:t>
      </w:r>
      <w:proofErr w:type="spellStart"/>
      <w:r w:rsidRPr="004E60A2">
        <w:rPr>
          <w:rFonts w:ascii="Times New Roman" w:eastAsia="Calibri" w:hAnsi="Times New Roman" w:cs="Times New Roman"/>
          <w:i/>
          <w:sz w:val="24"/>
          <w:szCs w:val="24"/>
        </w:rPr>
        <w:t>кіберзахисту</w:t>
      </w:r>
      <w:proofErr w:type="spellEnd"/>
      <w:r w:rsidRPr="004E60A2">
        <w:rPr>
          <w:rFonts w:ascii="Times New Roman" w:eastAsia="Calibri" w:hAnsi="Times New Roman" w:cs="Times New Roman"/>
          <w:i/>
          <w:sz w:val="24"/>
          <w:szCs w:val="24"/>
        </w:rPr>
        <w:t>»;</w:t>
      </w:r>
    </w:p>
    <w:p w14:paraId="0E7F8219" w14:textId="77777777" w:rsidR="004E60A2" w:rsidRPr="004E60A2" w:rsidRDefault="004E60A2" w:rsidP="004E60A2">
      <w:pPr>
        <w:numPr>
          <w:ilvl w:val="0"/>
          <w:numId w:val="38"/>
        </w:numPr>
        <w:spacing w:after="0" w:line="240" w:lineRule="auto"/>
        <w:ind w:left="426"/>
        <w:contextualSpacing/>
        <w:jc w:val="both"/>
        <w:rPr>
          <w:rFonts w:ascii="Times New Roman" w:eastAsia="Verdana" w:hAnsi="Times New Roman" w:cs="Times New Roman"/>
          <w:i/>
          <w:color w:val="000000"/>
          <w:sz w:val="24"/>
          <w:szCs w:val="24"/>
        </w:rPr>
      </w:pPr>
      <w:r w:rsidRPr="004E60A2">
        <w:rPr>
          <w:rFonts w:ascii="Times New Roman" w:eastAsia="Calibri" w:hAnsi="Times New Roman" w:cs="Times New Roman"/>
          <w:i/>
          <w:sz w:val="24"/>
          <w:szCs w:val="24"/>
        </w:rPr>
        <w:t>Постанова Кабінету Міністрів України від</w:t>
      </w:r>
      <w:r w:rsidRPr="004E60A2">
        <w:rPr>
          <w:rFonts w:ascii="Times New Roman" w:eastAsia="Verdana" w:hAnsi="Times New Roman" w:cs="Times New Roman"/>
          <w:i/>
          <w:color w:val="000000"/>
          <w:sz w:val="24"/>
          <w:szCs w:val="24"/>
        </w:rPr>
        <w:t xml:space="preserve"> 23.12.2020 № 1295 «Деякі питання забезпечення функціонування системи виявлення вразливостей і реагування на </w:t>
      </w:r>
      <w:proofErr w:type="spellStart"/>
      <w:r w:rsidRPr="004E60A2">
        <w:rPr>
          <w:rFonts w:ascii="Times New Roman" w:eastAsia="Verdana" w:hAnsi="Times New Roman" w:cs="Times New Roman"/>
          <w:i/>
          <w:color w:val="000000"/>
          <w:sz w:val="24"/>
          <w:szCs w:val="24"/>
        </w:rPr>
        <w:t>кіберінциденти</w:t>
      </w:r>
      <w:proofErr w:type="spellEnd"/>
      <w:r w:rsidRPr="004E60A2">
        <w:rPr>
          <w:rFonts w:ascii="Times New Roman" w:eastAsia="Verdana" w:hAnsi="Times New Roman" w:cs="Times New Roman"/>
          <w:i/>
          <w:color w:val="000000"/>
          <w:sz w:val="24"/>
          <w:szCs w:val="24"/>
        </w:rPr>
        <w:t xml:space="preserve"> та кібератаки»;</w:t>
      </w:r>
    </w:p>
    <w:p w14:paraId="4CAEB16D" w14:textId="77777777" w:rsidR="004E60A2" w:rsidRPr="004E60A2" w:rsidRDefault="004E60A2" w:rsidP="004E60A2">
      <w:pPr>
        <w:numPr>
          <w:ilvl w:val="0"/>
          <w:numId w:val="38"/>
        </w:numPr>
        <w:spacing w:after="0" w:line="240" w:lineRule="auto"/>
        <w:ind w:left="426"/>
        <w:contextualSpacing/>
        <w:jc w:val="both"/>
        <w:rPr>
          <w:rFonts w:ascii="Times New Roman" w:eastAsia="Verdana" w:hAnsi="Times New Roman" w:cs="Times New Roman"/>
          <w:i/>
          <w:color w:val="000000"/>
          <w:sz w:val="24"/>
          <w:szCs w:val="24"/>
        </w:rPr>
      </w:pPr>
      <w:r w:rsidRPr="004E60A2">
        <w:rPr>
          <w:rFonts w:ascii="Times New Roman" w:eastAsia="Calibri" w:hAnsi="Times New Roman" w:cs="Times New Roman"/>
          <w:i/>
          <w:sz w:val="24"/>
          <w:szCs w:val="24"/>
        </w:rPr>
        <w:t>Постанова Кабінету Міністрів України</w:t>
      </w:r>
      <w:r w:rsidRPr="004E60A2">
        <w:rPr>
          <w:rFonts w:ascii="Times New Roman" w:eastAsia="Verdana" w:hAnsi="Times New Roman" w:cs="Times New Roman"/>
          <w:i/>
          <w:color w:val="000000"/>
          <w:sz w:val="24"/>
          <w:szCs w:val="24"/>
        </w:rPr>
        <w:t xml:space="preserve"> від 16.05.2023 № 497 «Про затвердження Порядку пошуку та виявлення потенційної вразливості інформаційних (автоматизованих), електронних комунікаційних, інформаційно-комунікаційних систем, електронних комунікаційних мереж»;</w:t>
      </w:r>
    </w:p>
    <w:p w14:paraId="64D99337"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Постанова Кабінету Міністрів України від 21.02.2025 № 205 «Деякі питання створення, адміністрування та забезпечення функціонування засобу інформатизації»;</w:t>
      </w:r>
    </w:p>
    <w:p w14:paraId="09F17F0C"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 xml:space="preserve">Наказ Адміністрації </w:t>
      </w:r>
      <w:proofErr w:type="spellStart"/>
      <w:r w:rsidRPr="004E60A2">
        <w:rPr>
          <w:rFonts w:ascii="Times New Roman" w:eastAsia="Calibri" w:hAnsi="Times New Roman" w:cs="Times New Roman"/>
          <w:i/>
          <w:sz w:val="24"/>
          <w:szCs w:val="24"/>
        </w:rPr>
        <w:t>Держспецзв’язку</w:t>
      </w:r>
      <w:proofErr w:type="spellEnd"/>
      <w:r w:rsidRPr="004E60A2">
        <w:rPr>
          <w:rFonts w:ascii="Times New Roman" w:eastAsia="Calibri" w:hAnsi="Times New Roman" w:cs="Times New Roman"/>
          <w:i/>
          <w:sz w:val="24"/>
          <w:szCs w:val="24"/>
        </w:rPr>
        <w:t xml:space="preserve"> України від 30.01.2026 № 75 «Про затвердження Каталогу заходів з </w:t>
      </w:r>
      <w:proofErr w:type="spellStart"/>
      <w:r w:rsidRPr="004E60A2">
        <w:rPr>
          <w:rFonts w:ascii="Times New Roman" w:eastAsia="Calibri" w:hAnsi="Times New Roman" w:cs="Times New Roman"/>
          <w:i/>
          <w:sz w:val="24"/>
          <w:szCs w:val="24"/>
        </w:rPr>
        <w:t>кіберзахисту</w:t>
      </w:r>
      <w:proofErr w:type="spellEnd"/>
      <w:r w:rsidRPr="004E60A2">
        <w:rPr>
          <w:rFonts w:ascii="Times New Roman" w:eastAsia="Calibri" w:hAnsi="Times New Roman" w:cs="Times New Roman"/>
          <w:i/>
          <w:sz w:val="24"/>
          <w:szCs w:val="24"/>
        </w:rPr>
        <w:t xml:space="preserve">, базових заходів з </w:t>
      </w:r>
      <w:proofErr w:type="spellStart"/>
      <w:r w:rsidRPr="004E60A2">
        <w:rPr>
          <w:rFonts w:ascii="Times New Roman" w:eastAsia="Calibri" w:hAnsi="Times New Roman" w:cs="Times New Roman"/>
          <w:i/>
          <w:sz w:val="24"/>
          <w:szCs w:val="24"/>
        </w:rPr>
        <w:t>кіберзахисту</w:t>
      </w:r>
      <w:proofErr w:type="spellEnd"/>
      <w:r w:rsidRPr="004E60A2">
        <w:rPr>
          <w:rFonts w:ascii="Times New Roman" w:eastAsia="Calibri" w:hAnsi="Times New Roman" w:cs="Times New Roman"/>
          <w:i/>
          <w:sz w:val="24"/>
          <w:szCs w:val="24"/>
        </w:rPr>
        <w:t xml:space="preserve">, форми плану </w:t>
      </w:r>
      <w:proofErr w:type="spellStart"/>
      <w:r w:rsidRPr="004E60A2">
        <w:rPr>
          <w:rFonts w:ascii="Times New Roman" w:eastAsia="Calibri" w:hAnsi="Times New Roman" w:cs="Times New Roman"/>
          <w:i/>
          <w:sz w:val="24"/>
          <w:szCs w:val="24"/>
        </w:rPr>
        <w:t>кіберзахисту</w:t>
      </w:r>
      <w:proofErr w:type="spellEnd"/>
      <w:r w:rsidRPr="004E60A2">
        <w:rPr>
          <w:rFonts w:ascii="Times New Roman" w:eastAsia="Calibri" w:hAnsi="Times New Roman" w:cs="Times New Roman"/>
          <w:i/>
          <w:sz w:val="24"/>
          <w:szCs w:val="24"/>
        </w:rPr>
        <w:t xml:space="preserve"> та методичних рекомендацій щодо здійснення заходів з </w:t>
      </w:r>
      <w:proofErr w:type="spellStart"/>
      <w:r w:rsidRPr="004E60A2">
        <w:rPr>
          <w:rFonts w:ascii="Times New Roman" w:eastAsia="Calibri" w:hAnsi="Times New Roman" w:cs="Times New Roman"/>
          <w:i/>
          <w:sz w:val="24"/>
          <w:szCs w:val="24"/>
        </w:rPr>
        <w:t>кіберзахисту</w:t>
      </w:r>
      <w:proofErr w:type="spellEnd"/>
      <w:r w:rsidRPr="004E60A2">
        <w:rPr>
          <w:rFonts w:ascii="Times New Roman" w:eastAsia="Calibri" w:hAnsi="Times New Roman" w:cs="Times New Roman"/>
          <w:i/>
          <w:sz w:val="24"/>
          <w:szCs w:val="24"/>
        </w:rPr>
        <w:t>»;</w:t>
      </w:r>
    </w:p>
    <w:p w14:paraId="10A3AF93"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color w:val="000000"/>
          <w:sz w:val="24"/>
          <w:szCs w:val="24"/>
        </w:rPr>
      </w:pPr>
      <w:r w:rsidRPr="004E60A2">
        <w:rPr>
          <w:rFonts w:ascii="Times New Roman" w:eastAsia="Calibri" w:hAnsi="Times New Roman" w:cs="Times New Roman"/>
          <w:i/>
          <w:sz w:val="24"/>
          <w:szCs w:val="24"/>
        </w:rPr>
        <w:t xml:space="preserve">Наказ </w:t>
      </w:r>
      <w:r w:rsidRPr="004E60A2">
        <w:rPr>
          <w:rFonts w:ascii="Times New Roman" w:eastAsia="Calibri" w:hAnsi="Times New Roman" w:cs="Times New Roman"/>
          <w:i/>
          <w:color w:val="000000"/>
          <w:sz w:val="24"/>
          <w:szCs w:val="24"/>
        </w:rPr>
        <w:t xml:space="preserve">Адміністрації </w:t>
      </w:r>
      <w:proofErr w:type="spellStart"/>
      <w:r w:rsidRPr="004E60A2">
        <w:rPr>
          <w:rFonts w:ascii="Times New Roman" w:eastAsia="Calibri" w:hAnsi="Times New Roman" w:cs="Times New Roman"/>
          <w:i/>
          <w:color w:val="000000"/>
          <w:sz w:val="24"/>
          <w:szCs w:val="24"/>
        </w:rPr>
        <w:t>Держспецзв’язку</w:t>
      </w:r>
      <w:proofErr w:type="spellEnd"/>
      <w:r w:rsidRPr="004E60A2">
        <w:rPr>
          <w:rFonts w:ascii="Times New Roman" w:eastAsia="Calibri" w:hAnsi="Times New Roman" w:cs="Times New Roman"/>
          <w:i/>
          <w:color w:val="000000"/>
          <w:sz w:val="24"/>
          <w:szCs w:val="24"/>
        </w:rPr>
        <w:t xml:space="preserve"> України від 03.12.2025 № 798 «Про затвердження Методичних рекомендацій щодо типових вимог до підрозділів з </w:t>
      </w:r>
      <w:proofErr w:type="spellStart"/>
      <w:r w:rsidRPr="004E60A2">
        <w:rPr>
          <w:rFonts w:ascii="Times New Roman" w:eastAsia="Calibri" w:hAnsi="Times New Roman" w:cs="Times New Roman"/>
          <w:i/>
          <w:color w:val="000000"/>
          <w:sz w:val="24"/>
          <w:szCs w:val="24"/>
        </w:rPr>
        <w:t>кіберзахисту</w:t>
      </w:r>
      <w:proofErr w:type="spellEnd"/>
      <w:r w:rsidRPr="004E60A2">
        <w:rPr>
          <w:rFonts w:ascii="Times New Roman" w:eastAsia="Calibri" w:hAnsi="Times New Roman" w:cs="Times New Roman"/>
          <w:i/>
          <w:color w:val="000000"/>
          <w:sz w:val="24"/>
          <w:szCs w:val="24"/>
        </w:rPr>
        <w:t xml:space="preserve"> та керівників з </w:t>
      </w:r>
      <w:proofErr w:type="spellStart"/>
      <w:r w:rsidRPr="004E60A2">
        <w:rPr>
          <w:rFonts w:ascii="Times New Roman" w:eastAsia="Calibri" w:hAnsi="Times New Roman" w:cs="Times New Roman"/>
          <w:i/>
          <w:color w:val="000000"/>
          <w:sz w:val="24"/>
          <w:szCs w:val="24"/>
        </w:rPr>
        <w:t>кіберзахисту</w:t>
      </w:r>
      <w:proofErr w:type="spellEnd"/>
      <w:r w:rsidRPr="004E60A2">
        <w:rPr>
          <w:rFonts w:ascii="Times New Roman" w:eastAsia="Calibri" w:hAnsi="Times New Roman" w:cs="Times New Roman"/>
          <w:i/>
          <w:color w:val="000000"/>
          <w:sz w:val="24"/>
          <w:szCs w:val="24"/>
        </w:rPr>
        <w:t>»;</w:t>
      </w:r>
    </w:p>
    <w:p w14:paraId="7293676D"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ISECOM OSSTMM 3 (</w:t>
      </w:r>
      <w:proofErr w:type="spellStart"/>
      <w:r w:rsidRPr="004E60A2">
        <w:rPr>
          <w:rFonts w:ascii="Times New Roman" w:eastAsia="Calibri" w:hAnsi="Times New Roman" w:cs="Times New Roman"/>
          <w:i/>
          <w:sz w:val="24"/>
          <w:szCs w:val="24"/>
        </w:rPr>
        <w:t>Open</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Source</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Security</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Testing</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Methodology</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Manual</w:t>
      </w:r>
      <w:proofErr w:type="spellEnd"/>
      <w:r w:rsidRPr="004E60A2">
        <w:rPr>
          <w:rFonts w:ascii="Times New Roman" w:eastAsia="Calibri" w:hAnsi="Times New Roman" w:cs="Times New Roman"/>
          <w:i/>
          <w:sz w:val="24"/>
          <w:szCs w:val="24"/>
        </w:rPr>
        <w:t>);</w:t>
      </w:r>
    </w:p>
    <w:p w14:paraId="1BF3B650"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 xml:space="preserve">OWASP (OWASP </w:t>
      </w:r>
      <w:proofErr w:type="spellStart"/>
      <w:r w:rsidRPr="004E60A2">
        <w:rPr>
          <w:rFonts w:ascii="Times New Roman" w:eastAsia="Calibri" w:hAnsi="Times New Roman" w:cs="Times New Roman"/>
          <w:i/>
          <w:sz w:val="24"/>
          <w:szCs w:val="24"/>
        </w:rPr>
        <w:t>Testing</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Guide</w:t>
      </w:r>
      <w:proofErr w:type="spellEnd"/>
      <w:r w:rsidRPr="004E60A2">
        <w:rPr>
          <w:rFonts w:ascii="Times New Roman" w:eastAsia="Calibri" w:hAnsi="Times New Roman" w:cs="Times New Roman"/>
          <w:i/>
          <w:sz w:val="24"/>
          <w:szCs w:val="24"/>
        </w:rPr>
        <w:t xml:space="preserve"> v3.0) - індустріальний стандарт;</w:t>
      </w:r>
    </w:p>
    <w:p w14:paraId="6FA5DC53"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proofErr w:type="spellStart"/>
      <w:r w:rsidRPr="004E60A2">
        <w:rPr>
          <w:rFonts w:ascii="Times New Roman" w:eastAsia="Calibri" w:hAnsi="Times New Roman" w:cs="Times New Roman"/>
          <w:i/>
          <w:sz w:val="24"/>
          <w:szCs w:val="24"/>
        </w:rPr>
        <w:t>Penetration</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Testing</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Model</w:t>
      </w:r>
      <w:proofErr w:type="spellEnd"/>
      <w:r w:rsidRPr="004E60A2">
        <w:rPr>
          <w:rFonts w:ascii="Times New Roman" w:eastAsia="Calibri" w:hAnsi="Times New Roman" w:cs="Times New Roman"/>
          <w:i/>
          <w:sz w:val="24"/>
          <w:szCs w:val="24"/>
        </w:rPr>
        <w:t xml:space="preserve"> (BSI);</w:t>
      </w:r>
    </w:p>
    <w:p w14:paraId="49023E02"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 xml:space="preserve">ISACA IS </w:t>
      </w:r>
      <w:proofErr w:type="spellStart"/>
      <w:r w:rsidRPr="004E60A2">
        <w:rPr>
          <w:rFonts w:ascii="Times New Roman" w:eastAsia="Calibri" w:hAnsi="Times New Roman" w:cs="Times New Roman"/>
          <w:i/>
          <w:sz w:val="24"/>
          <w:szCs w:val="24"/>
        </w:rPr>
        <w:t>auditing</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procedure</w:t>
      </w:r>
      <w:proofErr w:type="spellEnd"/>
      <w:r w:rsidRPr="004E60A2">
        <w:rPr>
          <w:rFonts w:ascii="Times New Roman" w:eastAsia="Calibri" w:hAnsi="Times New Roman" w:cs="Times New Roman"/>
          <w:i/>
          <w:sz w:val="24"/>
          <w:szCs w:val="24"/>
        </w:rPr>
        <w:t xml:space="preserve"> "P8 </w:t>
      </w:r>
      <w:proofErr w:type="spellStart"/>
      <w:r w:rsidRPr="004E60A2">
        <w:rPr>
          <w:rFonts w:ascii="Times New Roman" w:eastAsia="Calibri" w:hAnsi="Times New Roman" w:cs="Times New Roman"/>
          <w:i/>
          <w:sz w:val="24"/>
          <w:szCs w:val="24"/>
        </w:rPr>
        <w:t>Security</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Assessment</w:t>
      </w:r>
      <w:proofErr w:type="spellEnd"/>
      <w:r w:rsidRPr="004E60A2">
        <w:rPr>
          <w:rFonts w:ascii="Times New Roman" w:eastAsia="Calibri" w:hAnsi="Times New Roman" w:cs="Times New Roman"/>
          <w:i/>
          <w:sz w:val="24"/>
          <w:szCs w:val="24"/>
        </w:rPr>
        <w:t xml:space="preserve"> - </w:t>
      </w:r>
      <w:proofErr w:type="spellStart"/>
      <w:r w:rsidRPr="004E60A2">
        <w:rPr>
          <w:rFonts w:ascii="Times New Roman" w:eastAsia="Calibri" w:hAnsi="Times New Roman" w:cs="Times New Roman"/>
          <w:i/>
          <w:sz w:val="24"/>
          <w:szCs w:val="24"/>
        </w:rPr>
        <w:t>Penetration</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testing</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and</w:t>
      </w:r>
      <w:proofErr w:type="spellEnd"/>
    </w:p>
    <w:p w14:paraId="7611B541"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proofErr w:type="spellStart"/>
      <w:r w:rsidRPr="004E60A2">
        <w:rPr>
          <w:rFonts w:ascii="Times New Roman" w:eastAsia="Calibri" w:hAnsi="Times New Roman" w:cs="Times New Roman"/>
          <w:i/>
          <w:sz w:val="24"/>
          <w:szCs w:val="24"/>
        </w:rPr>
        <w:t>vulnerability</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analysis</w:t>
      </w:r>
      <w:proofErr w:type="spellEnd"/>
      <w:r w:rsidRPr="004E60A2">
        <w:rPr>
          <w:rFonts w:ascii="Times New Roman" w:eastAsia="Calibri" w:hAnsi="Times New Roman" w:cs="Times New Roman"/>
          <w:i/>
          <w:sz w:val="24"/>
          <w:szCs w:val="24"/>
        </w:rPr>
        <w:t>;</w:t>
      </w:r>
    </w:p>
    <w:p w14:paraId="20637959" w14:textId="77777777" w:rsidR="004E60A2" w:rsidRPr="004E60A2" w:rsidRDefault="004E60A2" w:rsidP="004E60A2">
      <w:pPr>
        <w:numPr>
          <w:ilvl w:val="0"/>
          <w:numId w:val="38"/>
        </w:numPr>
        <w:spacing w:after="0" w:line="240" w:lineRule="auto"/>
        <w:ind w:left="426"/>
        <w:contextualSpacing/>
        <w:jc w:val="both"/>
        <w:rPr>
          <w:rFonts w:ascii="Times New Roman" w:eastAsia="Calibri" w:hAnsi="Times New Roman" w:cs="Times New Roman"/>
          <w:i/>
          <w:sz w:val="24"/>
          <w:szCs w:val="24"/>
        </w:rPr>
      </w:pPr>
      <w:r w:rsidRPr="004E60A2">
        <w:rPr>
          <w:rFonts w:ascii="Times New Roman" w:eastAsia="Calibri" w:hAnsi="Times New Roman" w:cs="Times New Roman"/>
          <w:i/>
          <w:sz w:val="24"/>
          <w:szCs w:val="24"/>
        </w:rPr>
        <w:t>NIST 800-115 (</w:t>
      </w:r>
      <w:proofErr w:type="spellStart"/>
      <w:r w:rsidRPr="004E60A2">
        <w:rPr>
          <w:rFonts w:ascii="Times New Roman" w:eastAsia="Calibri" w:hAnsi="Times New Roman" w:cs="Times New Roman"/>
          <w:i/>
          <w:sz w:val="24"/>
          <w:szCs w:val="24"/>
        </w:rPr>
        <w:t>Technical</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Guide</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to</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Information</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Security</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Testing</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and</w:t>
      </w:r>
      <w:proofErr w:type="spellEnd"/>
      <w:r w:rsidRPr="004E60A2">
        <w:rPr>
          <w:rFonts w:ascii="Times New Roman" w:eastAsia="Calibri" w:hAnsi="Times New Roman" w:cs="Times New Roman"/>
          <w:i/>
          <w:sz w:val="24"/>
          <w:szCs w:val="24"/>
        </w:rPr>
        <w:t xml:space="preserve"> </w:t>
      </w:r>
      <w:proofErr w:type="spellStart"/>
      <w:r w:rsidRPr="004E60A2">
        <w:rPr>
          <w:rFonts w:ascii="Times New Roman" w:eastAsia="Calibri" w:hAnsi="Times New Roman" w:cs="Times New Roman"/>
          <w:i/>
          <w:sz w:val="24"/>
          <w:szCs w:val="24"/>
        </w:rPr>
        <w:t>Assessment</w:t>
      </w:r>
      <w:proofErr w:type="spellEnd"/>
      <w:r w:rsidRPr="004E60A2">
        <w:rPr>
          <w:rFonts w:ascii="Times New Roman" w:eastAsia="Calibri" w:hAnsi="Times New Roman" w:cs="Times New Roman"/>
          <w:i/>
          <w:sz w:val="24"/>
          <w:szCs w:val="24"/>
        </w:rPr>
        <w:t>).</w:t>
      </w:r>
    </w:p>
    <w:p w14:paraId="23331331" w14:textId="77777777" w:rsidR="004E60A2" w:rsidRPr="004E60A2" w:rsidRDefault="004E60A2" w:rsidP="004E60A2">
      <w:pPr>
        <w:spacing w:after="0" w:line="240" w:lineRule="auto"/>
        <w:jc w:val="center"/>
        <w:rPr>
          <w:rFonts w:ascii="Times New Roman" w:hAnsi="Times New Roman" w:cs="Times New Roman"/>
          <w:b/>
          <w:bCs/>
          <w:sz w:val="24"/>
          <w:szCs w:val="24"/>
          <w:lang w:eastAsia="uk-UA"/>
        </w:rPr>
      </w:pPr>
    </w:p>
    <w:p w14:paraId="7973F9B1" w14:textId="77777777" w:rsidR="004E60A2" w:rsidRPr="004E60A2" w:rsidRDefault="004E60A2" w:rsidP="004E60A2">
      <w:pPr>
        <w:spacing w:after="0" w:line="240" w:lineRule="auto"/>
        <w:jc w:val="center"/>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t>Перелік етапів надання послуг:</w:t>
      </w:r>
    </w:p>
    <w:p w14:paraId="713EF2A9" w14:textId="77777777" w:rsidR="004E60A2" w:rsidRPr="004E60A2" w:rsidRDefault="004E60A2" w:rsidP="004E60A2">
      <w:pPr>
        <w:spacing w:after="0" w:line="240" w:lineRule="auto"/>
        <w:jc w:val="center"/>
        <w:rPr>
          <w:rFonts w:ascii="Times New Roman" w:hAnsi="Times New Roman" w:cs="Times New Roman"/>
          <w:b/>
          <w:bCs/>
          <w:sz w:val="24"/>
          <w:szCs w:val="24"/>
          <w:lang w:eastAsia="uk-UA"/>
        </w:rPr>
      </w:pPr>
      <w:r w:rsidRPr="004E60A2">
        <w:rPr>
          <w:rFonts w:ascii="Times New Roman" w:hAnsi="Times New Roman" w:cs="Times New Roman"/>
          <w:b/>
          <w:bCs/>
          <w:sz w:val="24"/>
          <w:szCs w:val="24"/>
          <w:lang w:eastAsia="uk-UA"/>
        </w:rPr>
        <w:lastRenderedPageBreak/>
        <w:t>Етап 1</w:t>
      </w:r>
    </w:p>
    <w:p w14:paraId="16F024E0" w14:textId="77777777" w:rsidR="004E60A2" w:rsidRPr="004E60A2" w:rsidRDefault="004E60A2" w:rsidP="004E60A2">
      <w:pPr>
        <w:spacing w:after="0" w:line="240" w:lineRule="auto"/>
        <w:jc w:val="center"/>
        <w:rPr>
          <w:rFonts w:ascii="Times New Roman" w:hAnsi="Times New Roman" w:cs="Times New Roman"/>
          <w:b/>
          <w:bCs/>
          <w:sz w:val="24"/>
          <w:szCs w:val="24"/>
          <w:u w:val="single"/>
          <w:lang w:eastAsia="uk-UA"/>
        </w:rPr>
      </w:pPr>
      <w:r w:rsidRPr="004E60A2">
        <w:rPr>
          <w:rFonts w:ascii="Times New Roman" w:hAnsi="Times New Roman" w:cs="Times New Roman"/>
          <w:b/>
          <w:bCs/>
          <w:sz w:val="24"/>
          <w:szCs w:val="24"/>
          <w:lang w:eastAsia="uk-UA"/>
        </w:rPr>
        <w:t xml:space="preserve"> Обстеження середовищ функціонування та консалтинг з побудови процесів управління ризиками інформаційної безпеки (відповідність ДСТУ ISO/IEC 27005)</w:t>
      </w:r>
      <w:r w:rsidRPr="004E60A2">
        <w:rPr>
          <w:rFonts w:ascii="Times New Roman" w:hAnsi="Times New Roman" w:cs="Times New Roman"/>
          <w:sz w:val="24"/>
          <w:szCs w:val="24"/>
          <w:lang w:eastAsia="uk-UA"/>
        </w:rPr>
        <w:br/>
      </w:r>
      <w:r w:rsidRPr="004E60A2">
        <w:rPr>
          <w:rFonts w:ascii="Times New Roman" w:hAnsi="Times New Roman" w:cs="Times New Roman"/>
          <w:b/>
          <w:bCs/>
          <w:sz w:val="24"/>
          <w:szCs w:val="24"/>
          <w:lang w:eastAsia="uk-UA"/>
        </w:rPr>
        <w:t>Тривалість:</w:t>
      </w:r>
      <w:r w:rsidRPr="004E60A2">
        <w:rPr>
          <w:rFonts w:ascii="Times New Roman" w:hAnsi="Times New Roman" w:cs="Times New Roman"/>
          <w:sz w:val="24"/>
          <w:szCs w:val="24"/>
          <w:lang w:eastAsia="uk-UA"/>
        </w:rPr>
        <w:t xml:space="preserve"> </w:t>
      </w:r>
      <w:r w:rsidRPr="004E60A2">
        <w:rPr>
          <w:rFonts w:ascii="Times New Roman" w:hAnsi="Times New Roman" w:cs="Times New Roman"/>
          <w:sz w:val="24"/>
          <w:szCs w:val="24"/>
          <w:u w:val="single"/>
          <w:lang w:eastAsia="uk-UA"/>
        </w:rPr>
        <w:t>110 робочих днів (з дати укладання договору)</w:t>
      </w:r>
    </w:p>
    <w:p w14:paraId="15C35302" w14:textId="77777777" w:rsidR="004E60A2" w:rsidRPr="004E60A2" w:rsidRDefault="004E60A2" w:rsidP="004E60A2">
      <w:pPr>
        <w:spacing w:after="0" w:line="240" w:lineRule="auto"/>
        <w:jc w:val="center"/>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t>Завдання:</w:t>
      </w:r>
    </w:p>
    <w:p w14:paraId="01543EF5" w14:textId="77777777" w:rsidR="004E60A2" w:rsidRPr="004E60A2" w:rsidRDefault="004E60A2" w:rsidP="004E60A2">
      <w:pPr>
        <w:spacing w:after="0" w:line="240" w:lineRule="auto"/>
        <w:ind w:left="720"/>
        <w:jc w:val="both"/>
        <w:rPr>
          <w:rFonts w:ascii="Times New Roman" w:hAnsi="Times New Roman" w:cs="Times New Roman"/>
          <w:b/>
          <w:sz w:val="24"/>
          <w:szCs w:val="24"/>
          <w:lang w:eastAsia="uk-UA"/>
        </w:rPr>
      </w:pPr>
      <w:r w:rsidRPr="004E60A2">
        <w:rPr>
          <w:rFonts w:ascii="Times New Roman" w:hAnsi="Times New Roman" w:cs="Times New Roman"/>
          <w:b/>
          <w:sz w:val="24"/>
          <w:szCs w:val="24"/>
          <w:lang w:eastAsia="uk-UA"/>
        </w:rPr>
        <w:t>Аналіз середовищ інформаційної діяльності в межах області дії СУІБ</w:t>
      </w:r>
    </w:p>
    <w:p w14:paraId="17FFFE92"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ab/>
        <w:t xml:space="preserve">На першому етапі проводиться комплексне обстеження середовищ функціонування Системи у тому числі з аналізом існуючих документованих процесів технічного захисту інформації, які побудовані відповідно до технічних завдань на створення комплексної системи захисту інформації «Комунікаційний центр «Служба 112» у м. Дніпро» та «Комунікаційний центр «Служба 112» у м. Одеса», а </w:t>
      </w:r>
      <w:proofErr w:type="spellStart"/>
      <w:r w:rsidRPr="004E60A2">
        <w:rPr>
          <w:rFonts w:ascii="Times New Roman" w:hAnsi="Times New Roman" w:cs="Times New Roman"/>
          <w:sz w:val="24"/>
          <w:szCs w:val="24"/>
          <w:lang w:eastAsia="uk-UA"/>
        </w:rPr>
        <w:t>такожкомплексної</w:t>
      </w:r>
      <w:proofErr w:type="spellEnd"/>
      <w:r w:rsidRPr="004E60A2">
        <w:rPr>
          <w:rFonts w:ascii="Times New Roman" w:hAnsi="Times New Roman" w:cs="Times New Roman"/>
          <w:sz w:val="24"/>
          <w:szCs w:val="24"/>
          <w:lang w:eastAsia="uk-UA"/>
        </w:rPr>
        <w:t xml:space="preserve"> системи захисту інформації «Інформаційно-комунікаційна система екстреної допомоги населенню за єдиним телефонним номером 112» (далі разом - ТЗ). Документовані та впроваджені процеси підлягають аналізу з метою визначення шляхів їх удосконалення </w:t>
      </w:r>
      <w:r w:rsidRPr="004E60A2">
        <w:rPr>
          <w:rFonts w:ascii="Times New Roman" w:hAnsi="Times New Roman" w:cs="Times New Roman"/>
          <w:bCs/>
          <w:sz w:val="24"/>
          <w:szCs w:val="24"/>
          <w:lang w:eastAsia="uk-UA"/>
        </w:rPr>
        <w:t xml:space="preserve">в межах області дії СУІБ </w:t>
      </w:r>
      <w:r w:rsidRPr="004E60A2">
        <w:rPr>
          <w:rFonts w:ascii="Times New Roman" w:hAnsi="Times New Roman" w:cs="Times New Roman"/>
          <w:iCs/>
          <w:sz w:val="24"/>
          <w:szCs w:val="24"/>
          <w:lang w:eastAsia="uk-UA"/>
        </w:rPr>
        <w:t>(локації: м. Київ, м. Львів, м. Дніпро, м. Одеса)</w:t>
      </w:r>
      <w:r w:rsidRPr="004E60A2">
        <w:rPr>
          <w:rFonts w:ascii="Times New Roman" w:hAnsi="Times New Roman" w:cs="Times New Roman"/>
          <w:sz w:val="24"/>
          <w:szCs w:val="24"/>
          <w:lang w:eastAsia="uk-UA"/>
        </w:rPr>
        <w:t xml:space="preserve">, проведення модернізації процесів ризик-менеджменту та застосування заходів захисту у відповідності </w:t>
      </w:r>
      <w:r w:rsidRPr="004E60A2">
        <w:rPr>
          <w:rFonts w:ascii="Times New Roman" w:hAnsi="Times New Roman" w:cs="Times New Roman"/>
          <w:sz w:val="24"/>
          <w:szCs w:val="24"/>
          <w:lang w:val="uk" w:eastAsia="uk-UA"/>
        </w:rPr>
        <w:t xml:space="preserve">до стандарту інформаційної безпеки </w:t>
      </w:r>
      <w:r w:rsidRPr="004E60A2">
        <w:rPr>
          <w:rFonts w:ascii="Times New Roman" w:hAnsi="Times New Roman" w:cs="Times New Roman"/>
          <w:bCs/>
          <w:sz w:val="24"/>
          <w:szCs w:val="24"/>
          <w:lang w:eastAsia="uk-UA"/>
        </w:rPr>
        <w:t xml:space="preserve">ДСТУ ISO/IEC 27001:2023 </w:t>
      </w:r>
      <w:r w:rsidRPr="004E60A2">
        <w:rPr>
          <w:rFonts w:ascii="Times New Roman" w:hAnsi="Times New Roman" w:cs="Times New Roman"/>
          <w:sz w:val="24"/>
          <w:szCs w:val="24"/>
          <w:lang w:eastAsia="uk-UA"/>
        </w:rPr>
        <w:t xml:space="preserve"> із здійсненням наступних заходів:</w:t>
      </w:r>
    </w:p>
    <w:p w14:paraId="52D5D80B"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b/>
          <w:sz w:val="24"/>
          <w:szCs w:val="24"/>
          <w:lang w:eastAsia="uk-UA"/>
        </w:rPr>
        <w:t>а) Аналіз організаційної структури та ролевої моделі</w:t>
      </w:r>
      <w:r w:rsidRPr="004E60A2">
        <w:rPr>
          <w:rFonts w:ascii="Times New Roman" w:hAnsi="Times New Roman" w:cs="Times New Roman"/>
          <w:iCs/>
          <w:sz w:val="24"/>
          <w:szCs w:val="24"/>
          <w:lang w:eastAsia="uk-UA"/>
        </w:rPr>
        <w:t xml:space="preserve"> </w:t>
      </w:r>
      <w:r w:rsidRPr="004E60A2">
        <w:rPr>
          <w:rFonts w:ascii="Times New Roman" w:hAnsi="Times New Roman" w:cs="Times New Roman"/>
          <w:sz w:val="24"/>
          <w:szCs w:val="24"/>
          <w:lang w:eastAsia="uk-UA"/>
        </w:rPr>
        <w:t xml:space="preserve">ДУ ЦІТ МВС України </w:t>
      </w:r>
      <w:r w:rsidRPr="004E60A2">
        <w:rPr>
          <w:rFonts w:ascii="Times New Roman" w:hAnsi="Times New Roman" w:cs="Times New Roman"/>
          <w:iCs/>
          <w:sz w:val="24"/>
          <w:szCs w:val="24"/>
          <w:lang w:eastAsia="uk-UA"/>
        </w:rPr>
        <w:t xml:space="preserve">(локації: </w:t>
      </w:r>
      <w:proofErr w:type="spellStart"/>
      <w:r w:rsidRPr="004E60A2">
        <w:rPr>
          <w:rFonts w:ascii="Times New Roman" w:hAnsi="Times New Roman" w:cs="Times New Roman"/>
          <w:iCs/>
          <w:sz w:val="24"/>
          <w:szCs w:val="24"/>
          <w:lang w:eastAsia="uk-UA"/>
        </w:rPr>
        <w:t>м.Київ</w:t>
      </w:r>
      <w:proofErr w:type="spellEnd"/>
      <w:r w:rsidRPr="004E60A2">
        <w:rPr>
          <w:rFonts w:ascii="Times New Roman" w:hAnsi="Times New Roman" w:cs="Times New Roman"/>
          <w:iCs/>
          <w:sz w:val="24"/>
          <w:szCs w:val="24"/>
          <w:lang w:eastAsia="uk-UA"/>
        </w:rPr>
        <w:t xml:space="preserve">, </w:t>
      </w:r>
      <w:proofErr w:type="spellStart"/>
      <w:r w:rsidRPr="004E60A2">
        <w:rPr>
          <w:rFonts w:ascii="Times New Roman" w:hAnsi="Times New Roman" w:cs="Times New Roman"/>
          <w:iCs/>
          <w:sz w:val="24"/>
          <w:szCs w:val="24"/>
          <w:lang w:eastAsia="uk-UA"/>
        </w:rPr>
        <w:t>м.Львів</w:t>
      </w:r>
      <w:proofErr w:type="spellEnd"/>
      <w:r w:rsidRPr="004E60A2">
        <w:rPr>
          <w:rFonts w:ascii="Times New Roman" w:hAnsi="Times New Roman" w:cs="Times New Roman"/>
          <w:iCs/>
          <w:sz w:val="24"/>
          <w:szCs w:val="24"/>
          <w:lang w:eastAsia="uk-UA"/>
        </w:rPr>
        <w:t xml:space="preserve">, </w:t>
      </w:r>
      <w:proofErr w:type="spellStart"/>
      <w:r w:rsidRPr="004E60A2">
        <w:rPr>
          <w:rFonts w:ascii="Times New Roman" w:hAnsi="Times New Roman" w:cs="Times New Roman"/>
          <w:iCs/>
          <w:sz w:val="24"/>
          <w:szCs w:val="24"/>
          <w:lang w:eastAsia="uk-UA"/>
        </w:rPr>
        <w:t>м.Дніпро</w:t>
      </w:r>
      <w:proofErr w:type="spellEnd"/>
      <w:r w:rsidRPr="004E60A2">
        <w:rPr>
          <w:rFonts w:ascii="Times New Roman" w:hAnsi="Times New Roman" w:cs="Times New Roman"/>
          <w:iCs/>
          <w:sz w:val="24"/>
          <w:szCs w:val="24"/>
          <w:lang w:eastAsia="uk-UA"/>
        </w:rPr>
        <w:t xml:space="preserve">, </w:t>
      </w:r>
      <w:proofErr w:type="spellStart"/>
      <w:r w:rsidRPr="004E60A2">
        <w:rPr>
          <w:rFonts w:ascii="Times New Roman" w:hAnsi="Times New Roman" w:cs="Times New Roman"/>
          <w:iCs/>
          <w:sz w:val="24"/>
          <w:szCs w:val="24"/>
          <w:lang w:eastAsia="uk-UA"/>
        </w:rPr>
        <w:t>м.Одеса</w:t>
      </w:r>
      <w:proofErr w:type="spellEnd"/>
      <w:r w:rsidRPr="004E60A2">
        <w:rPr>
          <w:rFonts w:ascii="Times New Roman" w:hAnsi="Times New Roman" w:cs="Times New Roman"/>
          <w:iCs/>
          <w:sz w:val="24"/>
          <w:szCs w:val="24"/>
          <w:lang w:eastAsia="uk-UA"/>
        </w:rPr>
        <w:t>)</w:t>
      </w:r>
      <w:r w:rsidRPr="004E60A2">
        <w:rPr>
          <w:rFonts w:ascii="Times New Roman" w:hAnsi="Times New Roman" w:cs="Times New Roman"/>
          <w:sz w:val="24"/>
          <w:szCs w:val="24"/>
          <w:lang w:eastAsia="uk-UA"/>
        </w:rPr>
        <w:t xml:space="preserve">, структурні підрозділи якої залучені до виконання завдань в цілях функціонування бізнес-процесу </w:t>
      </w:r>
      <w:r w:rsidRPr="004E60A2">
        <w:rPr>
          <w:rFonts w:ascii="Times New Roman" w:hAnsi="Times New Roman" w:cs="Times New Roman"/>
          <w:b/>
          <w:bCs/>
          <w:sz w:val="24"/>
          <w:szCs w:val="24"/>
          <w:lang w:eastAsia="uk-UA"/>
        </w:rPr>
        <w:t>«Служба 112»</w:t>
      </w:r>
    </w:p>
    <w:p w14:paraId="70CDFB64" w14:textId="77777777" w:rsidR="004E60A2" w:rsidRPr="004E60A2" w:rsidRDefault="004E60A2" w:rsidP="004E60A2">
      <w:pPr>
        <w:spacing w:after="0" w:line="240" w:lineRule="auto"/>
        <w:ind w:left="720"/>
        <w:jc w:val="both"/>
        <w:rPr>
          <w:rFonts w:ascii="Times New Roman" w:hAnsi="Times New Roman" w:cs="Times New Roman"/>
          <w:b/>
          <w:bCs/>
          <w:sz w:val="24"/>
          <w:szCs w:val="24"/>
          <w:lang w:eastAsia="uk-UA"/>
        </w:rPr>
      </w:pPr>
    </w:p>
    <w:p w14:paraId="2932284F" w14:textId="77777777" w:rsidR="004E60A2" w:rsidRPr="004E60A2" w:rsidRDefault="004E60A2" w:rsidP="004E60A2">
      <w:pPr>
        <w:spacing w:after="0" w:line="240" w:lineRule="auto"/>
        <w:ind w:left="720"/>
        <w:jc w:val="both"/>
        <w:rPr>
          <w:rFonts w:ascii="Times New Roman" w:hAnsi="Times New Roman" w:cs="Times New Roman"/>
          <w:b/>
          <w:bCs/>
          <w:sz w:val="24"/>
          <w:szCs w:val="24"/>
          <w:lang w:eastAsia="uk-UA"/>
        </w:rPr>
      </w:pPr>
      <w:r w:rsidRPr="004E60A2">
        <w:rPr>
          <w:rFonts w:ascii="Times New Roman" w:hAnsi="Times New Roman" w:cs="Times New Roman"/>
          <w:b/>
          <w:sz w:val="24"/>
          <w:szCs w:val="24"/>
          <w:lang w:eastAsia="uk-UA"/>
        </w:rPr>
        <w:t>б) Аналіз інформаційної інфраструктури</w:t>
      </w:r>
      <w:r w:rsidRPr="004E60A2">
        <w:rPr>
          <w:rFonts w:ascii="Times New Roman" w:hAnsi="Times New Roman" w:cs="Times New Roman"/>
          <w:iCs/>
          <w:sz w:val="24"/>
          <w:szCs w:val="24"/>
          <w:lang w:eastAsia="uk-UA"/>
        </w:rPr>
        <w:t xml:space="preserve">, у тому числі інформаційних активів (державні інформаційні електронні ресурси, конфіденційна інформація), що мають обіг у </w:t>
      </w:r>
      <w:r w:rsidRPr="004E60A2">
        <w:rPr>
          <w:rFonts w:ascii="Times New Roman" w:hAnsi="Times New Roman" w:cs="Times New Roman"/>
          <w:sz w:val="24"/>
          <w:szCs w:val="24"/>
          <w:lang w:eastAsia="uk-UA"/>
        </w:rPr>
        <w:t>Системі</w:t>
      </w:r>
      <w:bookmarkStart w:id="0" w:name="_Hlk222490196"/>
      <w:r w:rsidRPr="004E60A2">
        <w:rPr>
          <w:rFonts w:ascii="Times New Roman" w:hAnsi="Times New Roman" w:cs="Times New Roman"/>
          <w:iCs/>
          <w:sz w:val="24"/>
          <w:szCs w:val="24"/>
          <w:lang w:eastAsia="uk-UA"/>
        </w:rPr>
        <w:t xml:space="preserve"> </w:t>
      </w:r>
      <w:r w:rsidRPr="004E60A2">
        <w:rPr>
          <w:rFonts w:ascii="Times New Roman" w:hAnsi="Times New Roman" w:cs="Times New Roman"/>
          <w:b/>
          <w:bCs/>
          <w:sz w:val="24"/>
          <w:szCs w:val="24"/>
          <w:lang w:eastAsia="uk-UA"/>
        </w:rPr>
        <w:t xml:space="preserve">«СЛУЖБА 112» </w:t>
      </w:r>
      <w:r w:rsidRPr="004E60A2">
        <w:rPr>
          <w:rFonts w:ascii="Times New Roman" w:eastAsia="Calibri" w:hAnsi="Times New Roman" w:cs="Times New Roman"/>
          <w:iCs/>
          <w:sz w:val="24"/>
          <w:szCs w:val="24"/>
        </w:rPr>
        <w:t>(локації: м. Київ, м. Львів, м. Дніпро, м. Одеса)</w:t>
      </w:r>
      <w:r w:rsidRPr="004E60A2">
        <w:rPr>
          <w:rFonts w:ascii="Times New Roman" w:eastAsia="Verdana" w:hAnsi="Times New Roman" w:cs="Times New Roman"/>
          <w:color w:val="000000"/>
          <w:sz w:val="24"/>
          <w:szCs w:val="24"/>
        </w:rPr>
        <w:t>.</w:t>
      </w:r>
    </w:p>
    <w:bookmarkEnd w:id="0"/>
    <w:p w14:paraId="044137A5"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p>
    <w:p w14:paraId="5500595B"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t>в</w:t>
      </w:r>
      <w:r w:rsidRPr="004E60A2">
        <w:rPr>
          <w:rFonts w:ascii="Times New Roman" w:hAnsi="Times New Roman" w:cs="Times New Roman"/>
          <w:b/>
          <w:sz w:val="24"/>
          <w:szCs w:val="24"/>
          <w:lang w:eastAsia="uk-UA"/>
        </w:rPr>
        <w:t>) Аналіз інформаційних потоків в цілях бізнес-процесу</w:t>
      </w:r>
      <w:r w:rsidRPr="004E60A2">
        <w:rPr>
          <w:rFonts w:ascii="Times New Roman" w:hAnsi="Times New Roman" w:cs="Times New Roman"/>
          <w:sz w:val="24"/>
          <w:szCs w:val="24"/>
          <w:lang w:eastAsia="uk-UA"/>
        </w:rPr>
        <w:t xml:space="preserve">  із </w:t>
      </w:r>
      <w:r w:rsidRPr="004E60A2">
        <w:rPr>
          <w:rFonts w:ascii="Times New Roman" w:hAnsi="Times New Roman" w:cs="Times New Roman"/>
          <w:iCs/>
          <w:sz w:val="24"/>
          <w:szCs w:val="24"/>
          <w:lang w:eastAsia="uk-UA"/>
        </w:rPr>
        <w:t xml:space="preserve">використанням документованих технологічних процесів та/або регламентів, що визначають порядок  функціонування компонентів </w:t>
      </w:r>
      <w:r w:rsidRPr="004E60A2">
        <w:rPr>
          <w:rFonts w:ascii="Times New Roman" w:hAnsi="Times New Roman" w:cs="Times New Roman"/>
          <w:sz w:val="24"/>
          <w:szCs w:val="24"/>
          <w:lang w:eastAsia="uk-UA"/>
        </w:rPr>
        <w:t>Системи та порядок обігу, обміну і збереження інформаційних активів у визначених локаціях, їх резервних копій та порядку здійснення реплікацій усіх даних (систематизовані та згруповані інформаційні активи у бази даних) на серверах або мережевих сховищах Системи ДУ ЦІТ МВС в межах області дії СУІБ:</w:t>
      </w:r>
    </w:p>
    <w:p w14:paraId="0970DC8B"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Обробка екстрених викликів (112);</w:t>
      </w:r>
    </w:p>
    <w:p w14:paraId="49C963DD"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Діловодство та організація документообігу (MIA: Документообіг);</w:t>
      </w:r>
    </w:p>
    <w:p w14:paraId="4E08E4EF"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Ведення бухгалтерського обліку;</w:t>
      </w:r>
    </w:p>
    <w:p w14:paraId="464381E3"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Інформаційно-технічна підтримка;</w:t>
      </w:r>
    </w:p>
    <w:p w14:paraId="26DAABDF"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Захист інформації;</w:t>
      </w:r>
    </w:p>
    <w:p w14:paraId="2E004BA6"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Моніторинг та технічне обслуговування обладнання;</w:t>
      </w:r>
    </w:p>
    <w:p w14:paraId="5C62FDA3"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Кадрове забезпечення;</w:t>
      </w:r>
    </w:p>
    <w:p w14:paraId="5CA94A5A"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 Організація та проведення публічних </w:t>
      </w:r>
      <w:proofErr w:type="spellStart"/>
      <w:r w:rsidRPr="004E60A2">
        <w:rPr>
          <w:rFonts w:ascii="Times New Roman" w:hAnsi="Times New Roman" w:cs="Times New Roman"/>
          <w:sz w:val="24"/>
          <w:szCs w:val="24"/>
          <w:lang w:eastAsia="uk-UA"/>
        </w:rPr>
        <w:t>закупівель</w:t>
      </w:r>
      <w:proofErr w:type="spellEnd"/>
      <w:r w:rsidRPr="004E60A2">
        <w:rPr>
          <w:rFonts w:ascii="Times New Roman" w:hAnsi="Times New Roman" w:cs="Times New Roman"/>
          <w:sz w:val="24"/>
          <w:szCs w:val="24"/>
          <w:lang w:eastAsia="uk-UA"/>
        </w:rPr>
        <w:t>;</w:t>
      </w:r>
    </w:p>
    <w:p w14:paraId="65964D5D"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Юридичний супровід діяльності;</w:t>
      </w:r>
    </w:p>
    <w:p w14:paraId="5222CD7D"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Забезпечення розрахунків за комунальні послуги;</w:t>
      </w:r>
    </w:p>
    <w:p w14:paraId="1C32130C"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Матеріально-технічне та ресурсне забезпечення;</w:t>
      </w:r>
    </w:p>
    <w:p w14:paraId="481176A5"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Облік та управління майном.</w:t>
      </w:r>
    </w:p>
    <w:p w14:paraId="61017620" w14:textId="77777777" w:rsidR="004E60A2" w:rsidRPr="004E60A2" w:rsidRDefault="004E60A2" w:rsidP="004E60A2">
      <w:pPr>
        <w:spacing w:after="0" w:line="240" w:lineRule="auto"/>
        <w:jc w:val="both"/>
        <w:rPr>
          <w:rFonts w:ascii="Times New Roman" w:hAnsi="Times New Roman" w:cs="Times New Roman"/>
          <w:sz w:val="24"/>
          <w:szCs w:val="24"/>
          <w:lang w:eastAsia="uk-UA"/>
        </w:rPr>
      </w:pPr>
    </w:p>
    <w:p w14:paraId="101D8FD5"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Під час аналізу середовищ інформаційної діяльності по визначених локаціях здійснюються наступні заходи:</w:t>
      </w:r>
    </w:p>
    <w:p w14:paraId="59238890" w14:textId="77777777" w:rsidR="004E60A2" w:rsidRPr="004E60A2" w:rsidRDefault="004E60A2" w:rsidP="004E60A2">
      <w:pPr>
        <w:spacing w:after="0" w:line="240" w:lineRule="auto"/>
        <w:ind w:left="720"/>
        <w:jc w:val="both"/>
        <w:rPr>
          <w:rFonts w:ascii="Times New Roman" w:hAnsi="Times New Roman" w:cs="Times New Roman"/>
          <w:bCs/>
          <w:iCs/>
          <w:sz w:val="24"/>
          <w:szCs w:val="24"/>
          <w:lang w:eastAsia="uk-UA"/>
        </w:rPr>
      </w:pPr>
      <w:r w:rsidRPr="004E60A2">
        <w:rPr>
          <w:rFonts w:ascii="Times New Roman" w:hAnsi="Times New Roman" w:cs="Times New Roman"/>
          <w:sz w:val="24"/>
          <w:szCs w:val="24"/>
          <w:lang w:eastAsia="uk-UA"/>
        </w:rPr>
        <w:t>- аналіз проведених заходів з управління ризиками у середовищі функціонування інформаційної інфраструктури та організаційної інфраструктури</w:t>
      </w:r>
      <w:r w:rsidRPr="004E60A2">
        <w:rPr>
          <w:rFonts w:ascii="Times New Roman" w:hAnsi="Times New Roman" w:cs="Times New Roman"/>
          <w:bCs/>
          <w:iCs/>
          <w:sz w:val="24"/>
          <w:szCs w:val="24"/>
          <w:lang w:eastAsia="uk-UA"/>
        </w:rPr>
        <w:t>;</w:t>
      </w:r>
    </w:p>
    <w:p w14:paraId="433AE044"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аналіз існуючих та потенційних загроз, вразливостей, аналіз рольової моделі з метою створення системи управління ризиками з врахуванням контексту Власника СУІБ;</w:t>
      </w:r>
    </w:p>
    <w:p w14:paraId="44BA7661"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аналіз використання внутрішніх та сторонніх ІТ сервісів та аналіз вимог від постачальників послуг:</w:t>
      </w:r>
    </w:p>
    <w:p w14:paraId="405C53BC" w14:textId="77777777" w:rsidR="004E60A2" w:rsidRPr="004E60A2" w:rsidRDefault="004E60A2" w:rsidP="004E60A2">
      <w:pPr>
        <w:numPr>
          <w:ilvl w:val="0"/>
          <w:numId w:val="43"/>
        </w:numPr>
        <w:spacing w:after="0" w:line="240" w:lineRule="auto"/>
        <w:ind w:firstLine="414"/>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платформи для розміщення серверів і баз даних;</w:t>
      </w:r>
    </w:p>
    <w:p w14:paraId="31052DBD" w14:textId="77777777" w:rsidR="004E60A2" w:rsidRPr="004E60A2" w:rsidRDefault="004E60A2" w:rsidP="004E60A2">
      <w:pPr>
        <w:numPr>
          <w:ilvl w:val="0"/>
          <w:numId w:val="43"/>
        </w:numPr>
        <w:spacing w:after="0" w:line="240" w:lineRule="auto"/>
        <w:ind w:firstLine="414"/>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lastRenderedPageBreak/>
        <w:t xml:space="preserve">«112 </w:t>
      </w:r>
      <w:proofErr w:type="spellStart"/>
      <w:r w:rsidRPr="004E60A2">
        <w:rPr>
          <w:rFonts w:ascii="Times New Roman" w:hAnsi="Times New Roman" w:cs="Times New Roman"/>
          <w:sz w:val="24"/>
          <w:szCs w:val="24"/>
          <w:lang w:eastAsia="uk-UA"/>
        </w:rPr>
        <w:t>Ukraine</w:t>
      </w:r>
      <w:proofErr w:type="spellEnd"/>
      <w:r w:rsidRPr="004E60A2">
        <w:rPr>
          <w:rFonts w:ascii="Times New Roman" w:hAnsi="Times New Roman" w:cs="Times New Roman"/>
          <w:sz w:val="24"/>
          <w:szCs w:val="24"/>
          <w:lang w:eastAsia="uk-UA"/>
        </w:rPr>
        <w:t xml:space="preserve">» — це офіційний державний мобільний застосунок, розроблений Міністерством внутрішніх справ України для швидкого звернення до екстрених служб зі смартфона. Він доступний для операційних систем </w:t>
      </w:r>
      <w:proofErr w:type="spellStart"/>
      <w:r w:rsidRPr="004E60A2">
        <w:rPr>
          <w:rFonts w:ascii="Times New Roman" w:hAnsi="Times New Roman" w:cs="Times New Roman"/>
          <w:sz w:val="24"/>
          <w:szCs w:val="24"/>
          <w:lang w:eastAsia="uk-UA"/>
        </w:rPr>
        <w:t>Android</w:t>
      </w:r>
      <w:proofErr w:type="spellEnd"/>
      <w:r w:rsidRPr="004E60A2">
        <w:rPr>
          <w:rFonts w:ascii="Times New Roman" w:hAnsi="Times New Roman" w:cs="Times New Roman"/>
          <w:sz w:val="24"/>
          <w:szCs w:val="24"/>
          <w:lang w:eastAsia="uk-UA"/>
        </w:rPr>
        <w:t xml:space="preserve"> та </w:t>
      </w:r>
      <w:proofErr w:type="spellStart"/>
      <w:r w:rsidRPr="004E60A2">
        <w:rPr>
          <w:rFonts w:ascii="Times New Roman" w:hAnsi="Times New Roman" w:cs="Times New Roman"/>
          <w:sz w:val="24"/>
          <w:szCs w:val="24"/>
          <w:lang w:eastAsia="uk-UA"/>
        </w:rPr>
        <w:t>iOS</w:t>
      </w:r>
      <w:proofErr w:type="spellEnd"/>
      <w:r w:rsidRPr="004E60A2">
        <w:rPr>
          <w:rFonts w:ascii="Times New Roman" w:hAnsi="Times New Roman" w:cs="Times New Roman"/>
          <w:sz w:val="24"/>
          <w:szCs w:val="24"/>
          <w:lang w:eastAsia="uk-UA"/>
        </w:rPr>
        <w:t>;</w:t>
      </w:r>
    </w:p>
    <w:p w14:paraId="2EB8685A" w14:textId="77777777" w:rsidR="004E60A2" w:rsidRPr="004E60A2" w:rsidRDefault="004E60A2" w:rsidP="004E60A2">
      <w:pPr>
        <w:numPr>
          <w:ilvl w:val="0"/>
          <w:numId w:val="43"/>
        </w:numPr>
        <w:spacing w:after="0" w:line="240" w:lineRule="auto"/>
        <w:ind w:firstLine="414"/>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сервіси для управління електронною поштою;</w:t>
      </w:r>
    </w:p>
    <w:p w14:paraId="7388237A" w14:textId="77777777" w:rsidR="004E60A2" w:rsidRPr="004E60A2" w:rsidRDefault="004E60A2" w:rsidP="004E60A2">
      <w:pPr>
        <w:numPr>
          <w:ilvl w:val="0"/>
          <w:numId w:val="43"/>
        </w:numPr>
        <w:spacing w:after="0" w:line="240" w:lineRule="auto"/>
        <w:ind w:firstLine="414"/>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інструменти моніторингу та </w:t>
      </w:r>
      <w:proofErr w:type="spellStart"/>
      <w:r w:rsidRPr="004E60A2">
        <w:rPr>
          <w:rFonts w:ascii="Times New Roman" w:hAnsi="Times New Roman" w:cs="Times New Roman"/>
          <w:sz w:val="24"/>
          <w:szCs w:val="24"/>
          <w:lang w:eastAsia="uk-UA"/>
        </w:rPr>
        <w:t>логування</w:t>
      </w:r>
      <w:proofErr w:type="spellEnd"/>
      <w:r w:rsidRPr="004E60A2">
        <w:rPr>
          <w:rFonts w:ascii="Times New Roman" w:hAnsi="Times New Roman" w:cs="Times New Roman"/>
          <w:sz w:val="24"/>
          <w:szCs w:val="24"/>
          <w:lang w:eastAsia="uk-UA"/>
        </w:rPr>
        <w:t>;</w:t>
      </w:r>
    </w:p>
    <w:p w14:paraId="48C5F6E8" w14:textId="77777777" w:rsidR="004E60A2" w:rsidRPr="004E60A2" w:rsidRDefault="004E60A2" w:rsidP="004E60A2">
      <w:pPr>
        <w:numPr>
          <w:ilvl w:val="0"/>
          <w:numId w:val="43"/>
        </w:numPr>
        <w:spacing w:after="0" w:line="240" w:lineRule="auto"/>
        <w:ind w:firstLine="414"/>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доступ робочих станцій Системи ДУ ЦІТ до мережі інтернет (ЄІС МВС);</w:t>
      </w:r>
    </w:p>
    <w:p w14:paraId="6D9DF839" w14:textId="77777777" w:rsidR="004E60A2" w:rsidRPr="004E60A2" w:rsidRDefault="004E60A2" w:rsidP="004E60A2">
      <w:pPr>
        <w:numPr>
          <w:ilvl w:val="0"/>
          <w:numId w:val="43"/>
        </w:numPr>
        <w:spacing w:after="0" w:line="240" w:lineRule="auto"/>
        <w:ind w:firstLine="414"/>
        <w:contextualSpacing/>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доступ мережевих пристроїв Системи ДУ ЦІТ до мережі Інтернет (ЄЦВКМ);</w:t>
      </w:r>
    </w:p>
    <w:p w14:paraId="604889A8" w14:textId="77777777" w:rsidR="004E60A2" w:rsidRPr="004E60A2" w:rsidRDefault="004E60A2" w:rsidP="004E60A2">
      <w:pPr>
        <w:spacing w:after="0" w:line="240" w:lineRule="auto"/>
        <w:ind w:left="720"/>
        <w:contextualSpacing/>
        <w:jc w:val="both"/>
        <w:rPr>
          <w:rFonts w:ascii="Times New Roman" w:hAnsi="Times New Roman" w:cs="Times New Roman"/>
          <w:bCs/>
          <w:iCs/>
          <w:sz w:val="24"/>
          <w:szCs w:val="24"/>
          <w:lang w:eastAsia="uk-UA"/>
        </w:rPr>
      </w:pPr>
      <w:r w:rsidRPr="004E60A2">
        <w:rPr>
          <w:rFonts w:ascii="Times New Roman" w:hAnsi="Times New Roman" w:cs="Times New Roman"/>
          <w:bCs/>
          <w:sz w:val="24"/>
          <w:szCs w:val="24"/>
          <w:lang w:eastAsia="uk-UA"/>
        </w:rPr>
        <w:t>- формування загального уявлення про можливі сценарії ризиків з врахуванням в</w:t>
      </w:r>
      <w:r w:rsidRPr="004E60A2">
        <w:rPr>
          <w:rFonts w:ascii="Times New Roman" w:hAnsi="Times New Roman" w:cs="Times New Roman"/>
          <w:sz w:val="24"/>
          <w:szCs w:val="24"/>
          <w:lang w:eastAsia="uk-UA"/>
        </w:rPr>
        <w:t xml:space="preserve">нутрішнього та зовнішнього контексту Власника СУІБ по відповідних локаціях, інтерфейсів взаємозв’язків, інвентаризаційних відомостей Власника СУІБ, схеми класифікації інформації та технологій, які застосовуються для захисту властивостей інформації (конфіденційність, цілісність, доступність), проведених заходів із визначення Власників активів та їх відповідальності; </w:t>
      </w:r>
    </w:p>
    <w:p w14:paraId="59D5E20C" w14:textId="77777777" w:rsidR="004E60A2" w:rsidRPr="004E60A2" w:rsidRDefault="004E60A2" w:rsidP="004E60A2">
      <w:pPr>
        <w:spacing w:after="0" w:line="240" w:lineRule="auto"/>
        <w:ind w:left="720"/>
        <w:contextualSpacing/>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аналіз наявної документації, яка має опис джерела заходів захисту,  обґрунтування елемента керування, заходи з управління ризиками, та за необхідності консалтинг з внесення змін до існуючих документів СУІБ.</w:t>
      </w:r>
    </w:p>
    <w:p w14:paraId="7D4DD566"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 </w:t>
      </w:r>
      <w:r w:rsidRPr="004E60A2">
        <w:rPr>
          <w:rFonts w:ascii="Times New Roman" w:hAnsi="Times New Roman" w:cs="Times New Roman"/>
          <w:b/>
          <w:bCs/>
          <w:sz w:val="24"/>
          <w:szCs w:val="24"/>
          <w:lang w:eastAsia="uk-UA"/>
        </w:rPr>
        <w:t>Консультування з питань побудови процесів ризик менеджменту</w:t>
      </w:r>
      <w:r w:rsidRPr="004E60A2">
        <w:rPr>
          <w:rFonts w:ascii="Times New Roman" w:hAnsi="Times New Roman" w:cs="Times New Roman"/>
          <w:sz w:val="24"/>
          <w:szCs w:val="24"/>
          <w:lang w:eastAsia="uk-UA"/>
        </w:rPr>
        <w:t xml:space="preserve">, проведення заходів з оцінки та обробки ризиків відповідно до вимог ДСТУ ISO/IEC 27005:2023: </w:t>
      </w:r>
    </w:p>
    <w:p w14:paraId="2E00B19A" w14:textId="77777777" w:rsidR="004E60A2" w:rsidRPr="004E60A2" w:rsidRDefault="004E60A2" w:rsidP="004E60A2">
      <w:pPr>
        <w:numPr>
          <w:ilvl w:val="0"/>
          <w:numId w:val="39"/>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створення та документування структури управління ризиками (методологія управління ризиками) для забезпечення узгодженості до вимог ДСТУ ISO/IEC</w:t>
      </w:r>
      <w:r w:rsidRPr="004E60A2">
        <w:rPr>
          <w:rFonts w:ascii="Times New Roman" w:hAnsi="Times New Roman" w:cs="Times New Roman"/>
          <w:bCs/>
          <w:sz w:val="24"/>
          <w:szCs w:val="24"/>
          <w:lang w:eastAsia="uk-UA"/>
        </w:rPr>
        <w:t xml:space="preserve"> 27005</w:t>
      </w:r>
      <w:r w:rsidRPr="004E60A2">
        <w:rPr>
          <w:rFonts w:ascii="Times New Roman" w:hAnsi="Times New Roman" w:cs="Times New Roman"/>
          <w:sz w:val="24"/>
          <w:szCs w:val="24"/>
          <w:lang w:eastAsia="uk-UA"/>
        </w:rPr>
        <w:t>;</w:t>
      </w:r>
    </w:p>
    <w:p w14:paraId="6BAA2B0C" w14:textId="77777777" w:rsidR="004E60A2" w:rsidRPr="004E60A2" w:rsidRDefault="004E60A2" w:rsidP="004E60A2">
      <w:pPr>
        <w:numPr>
          <w:ilvl w:val="0"/>
          <w:numId w:val="39"/>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опис прикладів сценаріїв, за яких інформація, системи або служби можуть бути скомпрометовані; </w:t>
      </w:r>
    </w:p>
    <w:p w14:paraId="7A425DD9" w14:textId="77777777" w:rsidR="004E60A2" w:rsidRPr="004E60A2" w:rsidRDefault="004E60A2" w:rsidP="004E60A2">
      <w:pPr>
        <w:numPr>
          <w:ilvl w:val="0"/>
          <w:numId w:val="39"/>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визначення ймовірності, з якою можуть відбуватися ці сценарії; </w:t>
      </w:r>
    </w:p>
    <w:p w14:paraId="5F173CA6" w14:textId="77777777" w:rsidR="004E60A2" w:rsidRPr="004E60A2" w:rsidRDefault="004E60A2" w:rsidP="004E60A2">
      <w:pPr>
        <w:numPr>
          <w:ilvl w:val="0"/>
          <w:numId w:val="39"/>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оцінка потенційного впливу кожного сценарію на конфіденційність, цілісність та доступність інформації, систем і послуг; </w:t>
      </w:r>
    </w:p>
    <w:p w14:paraId="197E9F06" w14:textId="77777777" w:rsidR="004E60A2" w:rsidRPr="004E60A2" w:rsidRDefault="004E60A2" w:rsidP="004E60A2">
      <w:pPr>
        <w:numPr>
          <w:ilvl w:val="0"/>
          <w:numId w:val="39"/>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обробка ризику та ранжування ризиків на основі суттєвості активів та критеріїв ризику.</w:t>
      </w:r>
    </w:p>
    <w:p w14:paraId="29A7602E"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Надання консультацій щодо формування та документування плану обробки ризиків (плану </w:t>
      </w:r>
      <w:proofErr w:type="spellStart"/>
      <w:r w:rsidRPr="004E60A2">
        <w:rPr>
          <w:rFonts w:ascii="Times New Roman" w:hAnsi="Times New Roman" w:cs="Times New Roman"/>
          <w:sz w:val="24"/>
          <w:szCs w:val="24"/>
          <w:lang w:eastAsia="uk-UA"/>
        </w:rPr>
        <w:t>кіберзахисту</w:t>
      </w:r>
      <w:proofErr w:type="spellEnd"/>
      <w:r w:rsidRPr="004E60A2">
        <w:rPr>
          <w:rFonts w:ascii="Times New Roman" w:hAnsi="Times New Roman" w:cs="Times New Roman"/>
          <w:sz w:val="24"/>
          <w:szCs w:val="24"/>
          <w:lang w:eastAsia="uk-UA"/>
        </w:rPr>
        <w:t>) відповідно до вимог ДСТУ ISO/IEC 27005:2023 із фіксуванням:</w:t>
      </w:r>
    </w:p>
    <w:p w14:paraId="152184A1" w14:textId="77777777" w:rsidR="004E60A2" w:rsidRPr="004E60A2" w:rsidRDefault="004E60A2" w:rsidP="004E60A2">
      <w:pPr>
        <w:numPr>
          <w:ilvl w:val="0"/>
          <w:numId w:val="40"/>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заходів захисту на кожен ризик із призначенням  відповідального Власника (у межах ролевої моделі СУІБ) для кожного виявленого ризику;</w:t>
      </w:r>
    </w:p>
    <w:p w14:paraId="41E9C5A4" w14:textId="77777777" w:rsidR="004E60A2" w:rsidRPr="004E60A2" w:rsidRDefault="004E60A2" w:rsidP="004E60A2">
      <w:pPr>
        <w:numPr>
          <w:ilvl w:val="0"/>
          <w:numId w:val="40"/>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відповідального за здійснення діяльності щодо зменшення ризиків; </w:t>
      </w:r>
    </w:p>
    <w:p w14:paraId="40500469" w14:textId="77777777" w:rsidR="004E60A2" w:rsidRPr="004E60A2" w:rsidRDefault="004E60A2" w:rsidP="004E60A2">
      <w:pPr>
        <w:numPr>
          <w:ilvl w:val="0"/>
          <w:numId w:val="40"/>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відомостей щодо встановлення цільових термінів завершення заходів з усунення ризиків;</w:t>
      </w:r>
    </w:p>
    <w:p w14:paraId="58C61632" w14:textId="77777777" w:rsidR="004E60A2" w:rsidRPr="004E60A2" w:rsidRDefault="004E60A2" w:rsidP="004E60A2">
      <w:pPr>
        <w:numPr>
          <w:ilvl w:val="0"/>
          <w:numId w:val="40"/>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відомостей щодо звітування по результатах плану обробки ризиків та моніторингу ефективності впровадження СУІБ.</w:t>
      </w:r>
    </w:p>
    <w:p w14:paraId="424E6524" w14:textId="77777777" w:rsidR="004E60A2" w:rsidRPr="004E60A2" w:rsidRDefault="004E60A2" w:rsidP="004E60A2">
      <w:pPr>
        <w:spacing w:after="0" w:line="240" w:lineRule="auto"/>
        <w:ind w:left="720"/>
        <w:jc w:val="both"/>
        <w:rPr>
          <w:rFonts w:ascii="Times New Roman" w:hAnsi="Times New Roman" w:cs="Times New Roman"/>
          <w:b/>
          <w:sz w:val="24"/>
          <w:szCs w:val="24"/>
          <w:lang w:eastAsia="uk-UA"/>
        </w:rPr>
      </w:pPr>
      <w:r w:rsidRPr="004E60A2">
        <w:rPr>
          <w:rFonts w:ascii="Times New Roman" w:hAnsi="Times New Roman" w:cs="Times New Roman"/>
          <w:b/>
          <w:sz w:val="24"/>
          <w:szCs w:val="24"/>
          <w:lang w:eastAsia="uk-UA"/>
        </w:rPr>
        <w:t>Інформаційно-консультаційний супровід створення  Положення щодо застосовності (</w:t>
      </w:r>
      <w:proofErr w:type="spellStart"/>
      <w:r w:rsidRPr="004E60A2">
        <w:rPr>
          <w:rFonts w:ascii="Times New Roman" w:hAnsi="Times New Roman" w:cs="Times New Roman"/>
          <w:b/>
          <w:sz w:val="24"/>
          <w:szCs w:val="24"/>
          <w:lang w:eastAsia="uk-UA"/>
        </w:rPr>
        <w:t>SoA</w:t>
      </w:r>
      <w:proofErr w:type="spellEnd"/>
      <w:r w:rsidRPr="004E60A2">
        <w:rPr>
          <w:rFonts w:ascii="Times New Roman" w:hAnsi="Times New Roman" w:cs="Times New Roman"/>
          <w:b/>
          <w:sz w:val="24"/>
          <w:szCs w:val="24"/>
          <w:lang w:eastAsia="uk-UA"/>
        </w:rPr>
        <w:t>)</w:t>
      </w:r>
    </w:p>
    <w:p w14:paraId="548ADBE9"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а) Створення </w:t>
      </w:r>
      <w:proofErr w:type="spellStart"/>
      <w:r w:rsidRPr="004E60A2">
        <w:rPr>
          <w:rFonts w:ascii="Times New Roman" w:hAnsi="Times New Roman" w:cs="Times New Roman"/>
          <w:sz w:val="24"/>
          <w:szCs w:val="24"/>
          <w:lang w:eastAsia="uk-UA"/>
        </w:rPr>
        <w:t>SoA</w:t>
      </w:r>
      <w:proofErr w:type="spellEnd"/>
      <w:r w:rsidRPr="004E60A2">
        <w:rPr>
          <w:rFonts w:ascii="Times New Roman" w:hAnsi="Times New Roman" w:cs="Times New Roman"/>
          <w:sz w:val="24"/>
          <w:szCs w:val="24"/>
          <w:lang w:eastAsia="uk-UA"/>
        </w:rPr>
        <w:t xml:space="preserve"> із обґрунтуванням включення або виключення кожного елемента керування при реалізації СУІБ з метою модифікації виявлених ризиків відповідно до контролів Додатку А ДСТУ ISO/IEC 27001;</w:t>
      </w:r>
    </w:p>
    <w:p w14:paraId="6E235E92"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б) Фіксування поточного стану реалізації СУІБ у межах області дії СУІБ з дотриманням вимог ПКМУ №373,  ПКМУ 518, Наказу №75;</w:t>
      </w:r>
    </w:p>
    <w:p w14:paraId="5DEFFA94"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в) Надання консалтингу щодо проведення заходів з пошуку можливих загроз, вразливостей та формування сценаріїв ризиків  із використанням кращих міжнародних практик, що зафіксовані у наступних джерелах інформації: NIST CSF 2.0, NIST 800-53.</w:t>
      </w:r>
    </w:p>
    <w:p w14:paraId="5A6CDD33"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t xml:space="preserve">Результат виконання Етапу 1: </w:t>
      </w:r>
      <w:r w:rsidRPr="004E60A2">
        <w:rPr>
          <w:rFonts w:ascii="Times New Roman" w:hAnsi="Times New Roman" w:cs="Times New Roman"/>
          <w:sz w:val="24"/>
          <w:szCs w:val="24"/>
          <w:lang w:eastAsia="uk-UA"/>
        </w:rPr>
        <w:t xml:space="preserve">документація СУІБ, документовані процеси з управління ризиками  у проєктних документах, згідно переліку:  </w:t>
      </w:r>
    </w:p>
    <w:tbl>
      <w:tblPr>
        <w:tblStyle w:val="26"/>
        <w:tblpPr w:leftFromText="180" w:rightFromText="180" w:vertAnchor="text" w:horzAnchor="margin" w:tblpXSpec="right" w:tblpY="124"/>
        <w:tblW w:w="0" w:type="auto"/>
        <w:tblLook w:val="01E0" w:firstRow="1" w:lastRow="1" w:firstColumn="1" w:lastColumn="1" w:noHBand="0" w:noVBand="0"/>
      </w:tblPr>
      <w:tblGrid>
        <w:gridCol w:w="9401"/>
      </w:tblGrid>
      <w:tr w:rsidR="004E60A2" w:rsidRPr="004E60A2" w14:paraId="40CBB153" w14:textId="77777777" w:rsidTr="0099075F">
        <w:trPr>
          <w:trHeight w:val="416"/>
        </w:trPr>
        <w:tc>
          <w:tcPr>
            <w:tcW w:w="9401" w:type="dxa"/>
          </w:tcPr>
          <w:p w14:paraId="1D6EDAC6" w14:textId="77777777" w:rsidR="004E60A2" w:rsidRPr="004E60A2" w:rsidRDefault="004E60A2" w:rsidP="004E60A2">
            <w:pPr>
              <w:rPr>
                <w:rFonts w:ascii="Times New Roman" w:hAnsi="Times New Roman" w:cs="Times New Roman"/>
                <w:b/>
                <w:sz w:val="24"/>
                <w:szCs w:val="24"/>
                <w:lang w:eastAsia="uk-UA"/>
              </w:rPr>
            </w:pPr>
            <w:r w:rsidRPr="004E60A2">
              <w:rPr>
                <w:rFonts w:ascii="Times New Roman" w:hAnsi="Times New Roman" w:cs="Times New Roman"/>
                <w:b/>
                <w:sz w:val="24"/>
                <w:szCs w:val="24"/>
                <w:lang w:eastAsia="uk-UA"/>
              </w:rPr>
              <w:t>Перелік проєктних документів, що становлять собою результат виконання 1 етапу</w:t>
            </w:r>
          </w:p>
        </w:tc>
      </w:tr>
      <w:tr w:rsidR="004E60A2" w:rsidRPr="004E60A2" w14:paraId="05C7B4F5" w14:textId="77777777" w:rsidTr="0099075F">
        <w:trPr>
          <w:trHeight w:val="552"/>
        </w:trPr>
        <w:tc>
          <w:tcPr>
            <w:tcW w:w="9401" w:type="dxa"/>
            <w:hideMark/>
          </w:tcPr>
          <w:p w14:paraId="615E9D5C"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 Порядок оформлення документів та  контроль записів</w:t>
            </w:r>
          </w:p>
        </w:tc>
      </w:tr>
      <w:tr w:rsidR="004E60A2" w:rsidRPr="004E60A2" w14:paraId="16AD3FCD" w14:textId="77777777" w:rsidTr="0099075F">
        <w:trPr>
          <w:trHeight w:val="431"/>
        </w:trPr>
        <w:tc>
          <w:tcPr>
            <w:tcW w:w="9401" w:type="dxa"/>
            <w:hideMark/>
          </w:tcPr>
          <w:p w14:paraId="5975C902"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2. Основний перелік термінів, визначень та скорочень</w:t>
            </w:r>
          </w:p>
        </w:tc>
      </w:tr>
      <w:tr w:rsidR="004E60A2" w:rsidRPr="004E60A2" w14:paraId="21687D34" w14:textId="77777777" w:rsidTr="0099075F">
        <w:trPr>
          <w:trHeight w:val="431"/>
        </w:trPr>
        <w:tc>
          <w:tcPr>
            <w:tcW w:w="9401" w:type="dxa"/>
            <w:hideMark/>
          </w:tcPr>
          <w:p w14:paraId="0F75486F"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3. Процедури для ідентифікації вимог </w:t>
            </w:r>
          </w:p>
        </w:tc>
      </w:tr>
      <w:tr w:rsidR="004E60A2" w:rsidRPr="004E60A2" w14:paraId="207F5CB5" w14:textId="77777777" w:rsidTr="0099075F">
        <w:trPr>
          <w:trHeight w:val="428"/>
        </w:trPr>
        <w:tc>
          <w:tcPr>
            <w:tcW w:w="9401" w:type="dxa"/>
            <w:hideMark/>
          </w:tcPr>
          <w:p w14:paraId="4097F42E"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lastRenderedPageBreak/>
              <w:t>4. Ролі, що пов'язані з інформаційною безпекою, розподіл обов'язків та повноважень</w:t>
            </w:r>
          </w:p>
        </w:tc>
      </w:tr>
      <w:tr w:rsidR="004E60A2" w:rsidRPr="004E60A2" w14:paraId="1459C31D" w14:textId="77777777" w:rsidTr="0099075F">
        <w:trPr>
          <w:trHeight w:val="428"/>
        </w:trPr>
        <w:tc>
          <w:tcPr>
            <w:tcW w:w="9401" w:type="dxa"/>
            <w:hideMark/>
          </w:tcPr>
          <w:p w14:paraId="511456FB"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5. Наказ “Організація захисту інформаційної безпеки та </w:t>
            </w:r>
            <w:proofErr w:type="spellStart"/>
            <w:r w:rsidRPr="004E60A2">
              <w:rPr>
                <w:rFonts w:ascii="Times New Roman" w:hAnsi="Times New Roman" w:cs="Times New Roman"/>
                <w:sz w:val="24"/>
                <w:szCs w:val="24"/>
                <w:lang w:eastAsia="uk-UA"/>
              </w:rPr>
              <w:t>кіберзахисту</w:t>
            </w:r>
            <w:proofErr w:type="spellEnd"/>
            <w:r w:rsidRPr="004E60A2">
              <w:rPr>
                <w:rFonts w:ascii="Times New Roman" w:hAnsi="Times New Roman" w:cs="Times New Roman"/>
                <w:sz w:val="24"/>
                <w:szCs w:val="24"/>
                <w:lang w:eastAsia="uk-UA"/>
              </w:rPr>
              <w:t>” (проєкт)</w:t>
            </w:r>
          </w:p>
        </w:tc>
      </w:tr>
      <w:tr w:rsidR="004E60A2" w:rsidRPr="004E60A2" w14:paraId="3418E008" w14:textId="77777777" w:rsidTr="0099075F">
        <w:trPr>
          <w:trHeight w:val="428"/>
        </w:trPr>
        <w:tc>
          <w:tcPr>
            <w:tcW w:w="9401" w:type="dxa"/>
            <w:hideMark/>
          </w:tcPr>
          <w:p w14:paraId="529EE08A"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6. План побудови СУІБ</w:t>
            </w:r>
          </w:p>
        </w:tc>
      </w:tr>
      <w:tr w:rsidR="004E60A2" w:rsidRPr="004E60A2" w14:paraId="6744ABF7" w14:textId="77777777" w:rsidTr="0099075F">
        <w:trPr>
          <w:trHeight w:val="428"/>
        </w:trPr>
        <w:tc>
          <w:tcPr>
            <w:tcW w:w="9401" w:type="dxa"/>
            <w:hideMark/>
          </w:tcPr>
          <w:p w14:paraId="39575AD7"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7. Концептуальні рішення побудови СУІБ</w:t>
            </w:r>
          </w:p>
        </w:tc>
      </w:tr>
      <w:tr w:rsidR="004E60A2" w:rsidRPr="004E60A2" w14:paraId="4305B2DF" w14:textId="77777777" w:rsidTr="0099075F">
        <w:trPr>
          <w:trHeight w:val="428"/>
        </w:trPr>
        <w:tc>
          <w:tcPr>
            <w:tcW w:w="9401" w:type="dxa"/>
          </w:tcPr>
          <w:p w14:paraId="508615F8"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8. Перелік документів СУІБ</w:t>
            </w:r>
          </w:p>
        </w:tc>
      </w:tr>
      <w:tr w:rsidR="004E60A2" w:rsidRPr="004E60A2" w14:paraId="78816F30" w14:textId="77777777" w:rsidTr="0099075F">
        <w:trPr>
          <w:trHeight w:val="425"/>
        </w:trPr>
        <w:tc>
          <w:tcPr>
            <w:tcW w:w="9401" w:type="dxa"/>
          </w:tcPr>
          <w:p w14:paraId="4CABDE71" w14:textId="77777777" w:rsidR="004E60A2" w:rsidRPr="004E60A2" w:rsidRDefault="004E60A2" w:rsidP="004E60A2">
            <w:pPr>
              <w:rPr>
                <w:rFonts w:ascii="Times New Roman" w:hAnsi="Times New Roman" w:cs="Times New Roman"/>
                <w:bCs/>
                <w:sz w:val="24"/>
                <w:szCs w:val="24"/>
                <w:lang w:eastAsia="uk-UA"/>
              </w:rPr>
            </w:pPr>
            <w:r w:rsidRPr="004E60A2">
              <w:rPr>
                <w:rFonts w:ascii="Times New Roman" w:hAnsi="Times New Roman" w:cs="Times New Roman"/>
                <w:bCs/>
                <w:sz w:val="24"/>
                <w:szCs w:val="24"/>
                <w:lang w:eastAsia="uk-UA"/>
              </w:rPr>
              <w:t>9. Процедури для ідентифікації вимог</w:t>
            </w:r>
          </w:p>
        </w:tc>
      </w:tr>
      <w:tr w:rsidR="004E60A2" w:rsidRPr="004E60A2" w14:paraId="6B88999A" w14:textId="77777777" w:rsidTr="0099075F">
        <w:trPr>
          <w:trHeight w:val="425"/>
        </w:trPr>
        <w:tc>
          <w:tcPr>
            <w:tcW w:w="9401" w:type="dxa"/>
          </w:tcPr>
          <w:p w14:paraId="189371FC" w14:textId="77777777" w:rsidR="004E60A2" w:rsidRPr="004E60A2" w:rsidRDefault="004E60A2" w:rsidP="004E60A2">
            <w:pPr>
              <w:rPr>
                <w:rFonts w:ascii="Times New Roman" w:hAnsi="Times New Roman" w:cs="Times New Roman"/>
                <w:bCs/>
                <w:sz w:val="24"/>
                <w:szCs w:val="24"/>
                <w:lang w:eastAsia="uk-UA"/>
              </w:rPr>
            </w:pPr>
            <w:r w:rsidRPr="004E60A2">
              <w:rPr>
                <w:rFonts w:ascii="Times New Roman" w:hAnsi="Times New Roman" w:cs="Times New Roman"/>
                <w:bCs/>
                <w:sz w:val="24"/>
                <w:szCs w:val="24"/>
                <w:lang w:eastAsia="uk-UA"/>
              </w:rPr>
              <w:t>10. Додаток – Перелік юридичних, нормативних, договірних та інші вимоги</w:t>
            </w:r>
          </w:p>
        </w:tc>
      </w:tr>
      <w:tr w:rsidR="004E60A2" w:rsidRPr="004E60A2" w14:paraId="3B2DC43F" w14:textId="77777777" w:rsidTr="0099075F">
        <w:trPr>
          <w:trHeight w:val="425"/>
        </w:trPr>
        <w:tc>
          <w:tcPr>
            <w:tcW w:w="9401" w:type="dxa"/>
          </w:tcPr>
          <w:p w14:paraId="7279869A" w14:textId="77777777" w:rsidR="004E60A2" w:rsidRPr="004E60A2" w:rsidRDefault="004E60A2" w:rsidP="004E60A2">
            <w:pPr>
              <w:rPr>
                <w:rFonts w:ascii="Times New Roman" w:hAnsi="Times New Roman" w:cs="Times New Roman"/>
                <w:bCs/>
                <w:sz w:val="24"/>
                <w:szCs w:val="24"/>
                <w:lang w:eastAsia="uk-UA"/>
              </w:rPr>
            </w:pPr>
            <w:r w:rsidRPr="004E60A2">
              <w:rPr>
                <w:rFonts w:ascii="Times New Roman" w:hAnsi="Times New Roman" w:cs="Times New Roman"/>
                <w:bCs/>
                <w:sz w:val="24"/>
                <w:szCs w:val="24"/>
                <w:lang w:eastAsia="uk-UA"/>
              </w:rPr>
              <w:t>11. Політика управління активами користувачів</w:t>
            </w:r>
          </w:p>
        </w:tc>
      </w:tr>
      <w:tr w:rsidR="004E60A2" w:rsidRPr="004E60A2" w14:paraId="55B0E5E9" w14:textId="77777777" w:rsidTr="0099075F">
        <w:trPr>
          <w:trHeight w:val="428"/>
        </w:trPr>
        <w:tc>
          <w:tcPr>
            <w:tcW w:w="9401" w:type="dxa"/>
            <w:hideMark/>
          </w:tcPr>
          <w:p w14:paraId="65CE79EE"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12.Область дії СУІБ </w:t>
            </w:r>
          </w:p>
          <w:p w14:paraId="3D287F85"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bCs/>
                <w:i/>
                <w:iCs/>
                <w:sz w:val="24"/>
                <w:szCs w:val="24"/>
                <w:lang w:eastAsia="uk-UA"/>
              </w:rPr>
              <w:t>Примітка: Для кожної локації створюється окремі додатки до Області дії СУІБ:  Додаток 2 Зацікавлені сторони та їх вимоги та  Додаток 3 Інтерфейси та залежності</w:t>
            </w:r>
          </w:p>
        </w:tc>
      </w:tr>
      <w:tr w:rsidR="004E60A2" w:rsidRPr="004E60A2" w14:paraId="4EF0C2EF" w14:textId="77777777" w:rsidTr="0099075F">
        <w:trPr>
          <w:trHeight w:val="428"/>
        </w:trPr>
        <w:tc>
          <w:tcPr>
            <w:tcW w:w="9401" w:type="dxa"/>
            <w:hideMark/>
          </w:tcPr>
          <w:p w14:paraId="7E70F841"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13. Положення щодо інвентаризації та обробки даних</w:t>
            </w:r>
          </w:p>
        </w:tc>
      </w:tr>
      <w:tr w:rsidR="004E60A2" w:rsidRPr="004E60A2" w14:paraId="3E57277A" w14:textId="77777777" w:rsidTr="0099075F">
        <w:trPr>
          <w:trHeight w:val="428"/>
        </w:trPr>
        <w:tc>
          <w:tcPr>
            <w:tcW w:w="9401" w:type="dxa"/>
            <w:hideMark/>
          </w:tcPr>
          <w:p w14:paraId="05732544"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14. Реєстр активів</w:t>
            </w:r>
          </w:p>
          <w:p w14:paraId="2D695E66"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bCs/>
                <w:i/>
                <w:iCs/>
                <w:sz w:val="24"/>
                <w:szCs w:val="24"/>
                <w:lang w:eastAsia="uk-UA"/>
              </w:rPr>
              <w:t>Примітка: Для кожної локації створюється окремий із конкретним переліком Власників активів</w:t>
            </w:r>
          </w:p>
        </w:tc>
      </w:tr>
      <w:tr w:rsidR="004E60A2" w:rsidRPr="004E60A2" w14:paraId="765C5E70" w14:textId="77777777" w:rsidTr="0099075F">
        <w:trPr>
          <w:trHeight w:val="552"/>
        </w:trPr>
        <w:tc>
          <w:tcPr>
            <w:tcW w:w="9401" w:type="dxa"/>
            <w:hideMark/>
          </w:tcPr>
          <w:p w14:paraId="3092448B"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15. Методологія оцінки та обробки ризиків </w:t>
            </w:r>
          </w:p>
        </w:tc>
      </w:tr>
      <w:tr w:rsidR="004E60A2" w:rsidRPr="004E60A2" w14:paraId="3C35CC7A" w14:textId="77777777" w:rsidTr="0099075F">
        <w:trPr>
          <w:trHeight w:val="431"/>
        </w:trPr>
        <w:tc>
          <w:tcPr>
            <w:tcW w:w="9401" w:type="dxa"/>
          </w:tcPr>
          <w:p w14:paraId="509FD5A3"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16. Реєстр ризиків. Звіт оцінка ризиків (.</w:t>
            </w:r>
            <w:proofErr w:type="spellStart"/>
            <w:r w:rsidRPr="004E60A2">
              <w:rPr>
                <w:rFonts w:ascii="Times New Roman" w:hAnsi="Times New Roman" w:cs="Times New Roman"/>
                <w:sz w:val="24"/>
                <w:szCs w:val="24"/>
                <w:lang w:eastAsia="uk-UA"/>
              </w:rPr>
              <w:t>xlsx</w:t>
            </w:r>
            <w:proofErr w:type="spellEnd"/>
            <w:r w:rsidRPr="004E60A2">
              <w:rPr>
                <w:rFonts w:ascii="Times New Roman" w:hAnsi="Times New Roman" w:cs="Times New Roman"/>
                <w:sz w:val="24"/>
                <w:szCs w:val="24"/>
                <w:lang w:eastAsia="uk-UA"/>
              </w:rPr>
              <w:t>)</w:t>
            </w:r>
          </w:p>
          <w:p w14:paraId="1ED3BE3C"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bCs/>
                <w:i/>
                <w:iCs/>
                <w:sz w:val="24"/>
                <w:szCs w:val="24"/>
                <w:lang w:eastAsia="uk-UA"/>
              </w:rPr>
              <w:t>Примітка: Для кожної локації створюється окремий із конкретним переліком Власників ризиків</w:t>
            </w:r>
          </w:p>
        </w:tc>
      </w:tr>
      <w:tr w:rsidR="004E60A2" w:rsidRPr="004E60A2" w14:paraId="76772959" w14:textId="77777777" w:rsidTr="0099075F">
        <w:trPr>
          <w:trHeight w:val="431"/>
        </w:trPr>
        <w:tc>
          <w:tcPr>
            <w:tcW w:w="9401" w:type="dxa"/>
          </w:tcPr>
          <w:p w14:paraId="76F24580"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17. Звіт обробка ризиків (.</w:t>
            </w:r>
            <w:proofErr w:type="spellStart"/>
            <w:r w:rsidRPr="004E60A2">
              <w:rPr>
                <w:rFonts w:ascii="Times New Roman" w:hAnsi="Times New Roman" w:cs="Times New Roman"/>
                <w:sz w:val="24"/>
                <w:szCs w:val="24"/>
                <w:lang w:eastAsia="uk-UA"/>
              </w:rPr>
              <w:t>xlsx</w:t>
            </w:r>
            <w:proofErr w:type="spellEnd"/>
            <w:r w:rsidRPr="004E60A2">
              <w:rPr>
                <w:rFonts w:ascii="Times New Roman" w:hAnsi="Times New Roman" w:cs="Times New Roman"/>
                <w:sz w:val="24"/>
                <w:szCs w:val="24"/>
                <w:lang w:eastAsia="uk-UA"/>
              </w:rPr>
              <w:t>)</w:t>
            </w:r>
          </w:p>
          <w:p w14:paraId="47612FE4"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bCs/>
                <w:i/>
                <w:iCs/>
                <w:sz w:val="24"/>
                <w:szCs w:val="24"/>
                <w:lang w:eastAsia="uk-UA"/>
              </w:rPr>
              <w:t>Примітка: Для кожної локації створюється окремий</w:t>
            </w:r>
          </w:p>
        </w:tc>
      </w:tr>
      <w:tr w:rsidR="004E60A2" w:rsidRPr="004E60A2" w14:paraId="414EF989" w14:textId="77777777" w:rsidTr="0099075F">
        <w:trPr>
          <w:trHeight w:val="523"/>
        </w:trPr>
        <w:tc>
          <w:tcPr>
            <w:tcW w:w="9401" w:type="dxa"/>
          </w:tcPr>
          <w:p w14:paraId="547A2E45"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18. План обробки ризиків (.</w:t>
            </w:r>
            <w:proofErr w:type="spellStart"/>
            <w:r w:rsidRPr="004E60A2">
              <w:rPr>
                <w:rFonts w:ascii="Times New Roman" w:hAnsi="Times New Roman" w:cs="Times New Roman"/>
                <w:sz w:val="24"/>
                <w:szCs w:val="24"/>
                <w:lang w:eastAsia="uk-UA"/>
              </w:rPr>
              <w:t>xlsx</w:t>
            </w:r>
            <w:proofErr w:type="spellEnd"/>
            <w:r w:rsidRPr="004E60A2">
              <w:rPr>
                <w:rFonts w:ascii="Times New Roman" w:hAnsi="Times New Roman" w:cs="Times New Roman"/>
                <w:sz w:val="24"/>
                <w:szCs w:val="24"/>
                <w:lang w:eastAsia="uk-UA"/>
              </w:rPr>
              <w:t>)</w:t>
            </w:r>
          </w:p>
          <w:p w14:paraId="6E4DFF7B"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bCs/>
                <w:i/>
                <w:iCs/>
                <w:sz w:val="24"/>
                <w:szCs w:val="24"/>
                <w:lang w:eastAsia="uk-UA"/>
              </w:rPr>
              <w:t>Примітка: Для кожної локації створюється окремий</w:t>
            </w:r>
          </w:p>
        </w:tc>
      </w:tr>
      <w:tr w:rsidR="004E60A2" w:rsidRPr="004E60A2" w14:paraId="451C8061" w14:textId="77777777" w:rsidTr="0099075F">
        <w:trPr>
          <w:trHeight w:val="447"/>
        </w:trPr>
        <w:tc>
          <w:tcPr>
            <w:tcW w:w="9401" w:type="dxa"/>
            <w:hideMark/>
          </w:tcPr>
          <w:p w14:paraId="0DC7CD52"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19. Положення про застосовність (</w:t>
            </w:r>
            <w:proofErr w:type="spellStart"/>
            <w:r w:rsidRPr="004E60A2">
              <w:rPr>
                <w:rFonts w:ascii="Times New Roman" w:hAnsi="Times New Roman" w:cs="Times New Roman"/>
                <w:sz w:val="24"/>
                <w:szCs w:val="24"/>
                <w:lang w:eastAsia="uk-UA"/>
              </w:rPr>
              <w:t>SoA</w:t>
            </w:r>
            <w:proofErr w:type="spellEnd"/>
            <w:r w:rsidRPr="004E60A2">
              <w:rPr>
                <w:rFonts w:ascii="Times New Roman" w:hAnsi="Times New Roman" w:cs="Times New Roman"/>
                <w:sz w:val="24"/>
                <w:szCs w:val="24"/>
                <w:lang w:eastAsia="uk-UA"/>
              </w:rPr>
              <w:t>)</w:t>
            </w:r>
          </w:p>
        </w:tc>
      </w:tr>
      <w:tr w:rsidR="004E60A2" w:rsidRPr="004E60A2" w14:paraId="545B7381" w14:textId="77777777" w:rsidTr="0099075F">
        <w:trPr>
          <w:trHeight w:val="447"/>
        </w:trPr>
        <w:tc>
          <w:tcPr>
            <w:tcW w:w="9401" w:type="dxa"/>
            <w:hideMark/>
          </w:tcPr>
          <w:p w14:paraId="7175EEEA"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20. Технічне завдання на створення СУІБ</w:t>
            </w:r>
          </w:p>
        </w:tc>
      </w:tr>
    </w:tbl>
    <w:p w14:paraId="536AF64D" w14:textId="77777777" w:rsidR="004E60A2" w:rsidRPr="004E60A2" w:rsidRDefault="004E60A2" w:rsidP="004E60A2">
      <w:pPr>
        <w:spacing w:after="0" w:line="240" w:lineRule="auto"/>
        <w:ind w:left="720"/>
        <w:jc w:val="both"/>
        <w:rPr>
          <w:rFonts w:ascii="Times New Roman" w:hAnsi="Times New Roman" w:cs="Times New Roman"/>
          <w:sz w:val="24"/>
          <w:szCs w:val="24"/>
          <w:lang w:eastAsia="uk-UA"/>
        </w:rPr>
      </w:pPr>
    </w:p>
    <w:p w14:paraId="4977CB07" w14:textId="77777777" w:rsidR="004E60A2" w:rsidRPr="004E60A2" w:rsidRDefault="004E60A2" w:rsidP="004E60A2">
      <w:pPr>
        <w:spacing w:after="0" w:line="240" w:lineRule="auto"/>
        <w:jc w:val="center"/>
        <w:rPr>
          <w:rFonts w:ascii="Times New Roman" w:hAnsi="Times New Roman" w:cs="Times New Roman"/>
          <w:b/>
          <w:bCs/>
          <w:sz w:val="24"/>
          <w:szCs w:val="24"/>
          <w:lang w:eastAsia="uk-UA"/>
        </w:rPr>
      </w:pPr>
      <w:r w:rsidRPr="004E60A2">
        <w:rPr>
          <w:rFonts w:ascii="Times New Roman" w:hAnsi="Times New Roman" w:cs="Times New Roman"/>
          <w:b/>
          <w:bCs/>
          <w:sz w:val="24"/>
          <w:szCs w:val="24"/>
          <w:lang w:eastAsia="uk-UA"/>
        </w:rPr>
        <w:t>Етап 2</w:t>
      </w:r>
    </w:p>
    <w:p w14:paraId="13B4AA55" w14:textId="77777777" w:rsidR="004E60A2" w:rsidRPr="004E60A2" w:rsidRDefault="004E60A2" w:rsidP="004E60A2">
      <w:pPr>
        <w:spacing w:after="0" w:line="240" w:lineRule="auto"/>
        <w:jc w:val="center"/>
        <w:rPr>
          <w:rFonts w:ascii="Times New Roman" w:hAnsi="Times New Roman" w:cs="Times New Roman"/>
          <w:b/>
          <w:bCs/>
          <w:sz w:val="24"/>
          <w:szCs w:val="24"/>
          <w:lang w:eastAsia="uk-UA"/>
        </w:rPr>
      </w:pPr>
      <w:r w:rsidRPr="004E60A2">
        <w:rPr>
          <w:rFonts w:ascii="Times New Roman" w:hAnsi="Times New Roman" w:cs="Times New Roman"/>
          <w:b/>
          <w:bCs/>
          <w:sz w:val="24"/>
          <w:szCs w:val="24"/>
          <w:lang w:eastAsia="uk-UA"/>
        </w:rPr>
        <w:t xml:space="preserve"> Створення політик, настанов та процесів з побудови СУІБ (відповідність ДСТУ ISO/IEC 27001)</w:t>
      </w:r>
      <w:r w:rsidRPr="004E60A2">
        <w:rPr>
          <w:rFonts w:ascii="Times New Roman" w:hAnsi="Times New Roman" w:cs="Times New Roman"/>
          <w:sz w:val="24"/>
          <w:szCs w:val="24"/>
          <w:lang w:eastAsia="uk-UA"/>
        </w:rPr>
        <w:br/>
      </w:r>
      <w:r w:rsidRPr="004E60A2">
        <w:rPr>
          <w:rFonts w:ascii="Times New Roman" w:hAnsi="Times New Roman" w:cs="Times New Roman"/>
          <w:b/>
          <w:bCs/>
          <w:sz w:val="24"/>
          <w:szCs w:val="24"/>
          <w:lang w:eastAsia="uk-UA"/>
        </w:rPr>
        <w:t>Тривалість:</w:t>
      </w:r>
      <w:r w:rsidRPr="004E60A2">
        <w:rPr>
          <w:rFonts w:ascii="Times New Roman" w:hAnsi="Times New Roman" w:cs="Times New Roman"/>
          <w:sz w:val="24"/>
          <w:szCs w:val="24"/>
          <w:lang w:eastAsia="uk-UA"/>
        </w:rPr>
        <w:t xml:space="preserve"> 75 робочих днів (з дати завершення Етапу 1)</w:t>
      </w:r>
      <w:r w:rsidRPr="004E60A2">
        <w:rPr>
          <w:rFonts w:ascii="Times New Roman" w:hAnsi="Times New Roman" w:cs="Times New Roman"/>
          <w:sz w:val="24"/>
          <w:szCs w:val="24"/>
          <w:lang w:eastAsia="uk-UA"/>
        </w:rPr>
        <w:br/>
      </w:r>
    </w:p>
    <w:p w14:paraId="14F729BE" w14:textId="77777777" w:rsidR="004E60A2" w:rsidRPr="004E60A2" w:rsidRDefault="004E60A2" w:rsidP="004E60A2">
      <w:pPr>
        <w:spacing w:after="0" w:line="240" w:lineRule="auto"/>
        <w:jc w:val="center"/>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t>Завдання:</w:t>
      </w:r>
    </w:p>
    <w:p w14:paraId="69090D9A"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а)  Консультаційний супровід побудови процесів ІБ та їх документування відповідно до вимог стандартів та законодавства;</w:t>
      </w:r>
    </w:p>
    <w:p w14:paraId="1B5BB3E6"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б) Перевірка та оцінка стану дотримання та впровадження вимог національних, міжнародних законодавчих та нормативних актів у відповідності до контексту Власника СУІБ у межах області дії СУІБ;</w:t>
      </w:r>
    </w:p>
    <w:p w14:paraId="28114810"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в) Надання рекомендацій щодо впровадження заходів захисту інформаційної безпеки та постійного поліпшення ефективності СУІБ</w:t>
      </w:r>
      <w:r w:rsidRPr="004E60A2">
        <w:rPr>
          <w:rFonts w:ascii="Times New Roman" w:hAnsi="Times New Roman" w:cs="Times New Roman"/>
          <w:bCs/>
          <w:sz w:val="24"/>
          <w:szCs w:val="24"/>
          <w:lang w:eastAsia="uk-UA"/>
        </w:rPr>
        <w:t xml:space="preserve"> із застосуванням ризик-орієнтованого підходу </w:t>
      </w:r>
      <w:r w:rsidRPr="004E60A2">
        <w:rPr>
          <w:rFonts w:ascii="Times New Roman" w:hAnsi="Times New Roman" w:cs="Times New Roman"/>
          <w:sz w:val="24"/>
          <w:szCs w:val="24"/>
          <w:lang w:eastAsia="uk-UA"/>
        </w:rPr>
        <w:t>відповідно до вимог ДСТУ ISO/IEC 27001;</w:t>
      </w:r>
    </w:p>
    <w:p w14:paraId="3A06488F"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г)  Створення плану побудови СУІБ та формування концептуальних рішень щодо побудови СУІБ.</w:t>
      </w:r>
    </w:p>
    <w:p w14:paraId="1E1A5903"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д)  Розробка комплекту проєктних  документів СУІБ, які визначають:</w:t>
      </w:r>
    </w:p>
    <w:p w14:paraId="73D5915E"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порядок модернізації та оновлення програмних та апаратних компонентів ІКС під час їх експлуатації;</w:t>
      </w:r>
    </w:p>
    <w:p w14:paraId="6336B5B6"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процедури управління документацією, записами, управління персоналом; </w:t>
      </w:r>
    </w:p>
    <w:p w14:paraId="44E5FCFB"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процедури управління доступом; </w:t>
      </w:r>
    </w:p>
    <w:p w14:paraId="4626F84F"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lastRenderedPageBreak/>
        <w:t>політики управління ризиками інформаційної безпеки, порядку  звітування;</w:t>
      </w:r>
    </w:p>
    <w:p w14:paraId="6010C158"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процеси управління постачальниками послуг;</w:t>
      </w:r>
    </w:p>
    <w:p w14:paraId="7DD63437"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процедури реєстрації і аналізу інцидентів; </w:t>
      </w:r>
    </w:p>
    <w:p w14:paraId="1D9E2DB9"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процедури резервного копіювання; </w:t>
      </w:r>
    </w:p>
    <w:p w14:paraId="584CE2E7"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процедури управління </w:t>
      </w:r>
      <w:proofErr w:type="spellStart"/>
      <w:r w:rsidRPr="004E60A2">
        <w:rPr>
          <w:rFonts w:ascii="Times New Roman" w:hAnsi="Times New Roman" w:cs="Times New Roman"/>
          <w:sz w:val="24"/>
          <w:szCs w:val="24"/>
          <w:lang w:eastAsia="uk-UA"/>
        </w:rPr>
        <w:t>з’ємними</w:t>
      </w:r>
      <w:proofErr w:type="spellEnd"/>
      <w:r w:rsidRPr="004E60A2">
        <w:rPr>
          <w:rFonts w:ascii="Times New Roman" w:hAnsi="Times New Roman" w:cs="Times New Roman"/>
          <w:sz w:val="24"/>
          <w:szCs w:val="24"/>
          <w:lang w:eastAsia="uk-UA"/>
        </w:rPr>
        <w:t xml:space="preserve"> носіями інформації;</w:t>
      </w:r>
    </w:p>
    <w:p w14:paraId="18A9A9D0"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процедури внесення відомостей до журналу реєстрації резервного копіювання, журналу реєстрації технічного контролю після змін в операційній системі, журналу реєстрації інцидентів, журналу реєстрації тестів по безперервності бізнесу, журналу технічного обслуговування тощо;</w:t>
      </w:r>
    </w:p>
    <w:p w14:paraId="3FE447A3"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правила щодо припустимого використання інформації та активів; </w:t>
      </w:r>
    </w:p>
    <w:p w14:paraId="339CFF19"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ролі, обов'язки та повноваження;</w:t>
      </w:r>
    </w:p>
    <w:p w14:paraId="28F3357B"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процедури контролю задокументованої інформації;</w:t>
      </w:r>
    </w:p>
    <w:p w14:paraId="15576988"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процедури контролю з боку керівництва;</w:t>
      </w:r>
    </w:p>
    <w:p w14:paraId="55784293"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процедури проведення внутрішнього аудиту та процедур щодо звітування про внутрішні аудити;</w:t>
      </w:r>
    </w:p>
    <w:p w14:paraId="019ED5C7"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дії персоналу, які мають певну роль в СУІБ щодо постійного вдосконалення СУІБ;</w:t>
      </w:r>
    </w:p>
    <w:p w14:paraId="457BD4A3"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процедури відповідальності за порушення політик СУІБ; </w:t>
      </w:r>
    </w:p>
    <w:p w14:paraId="3A994489" w14:textId="77777777" w:rsidR="004E60A2" w:rsidRPr="004E60A2" w:rsidRDefault="004E60A2" w:rsidP="004E60A2">
      <w:pPr>
        <w:numPr>
          <w:ilvl w:val="0"/>
          <w:numId w:val="41"/>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процедури з контролю за якістю </w:t>
      </w:r>
      <w:proofErr w:type="spellStart"/>
      <w:r w:rsidRPr="004E60A2">
        <w:rPr>
          <w:rFonts w:ascii="Times New Roman" w:hAnsi="Times New Roman" w:cs="Times New Roman"/>
          <w:sz w:val="24"/>
          <w:szCs w:val="24"/>
          <w:lang w:eastAsia="uk-UA"/>
        </w:rPr>
        <w:t>аутсорсингових</w:t>
      </w:r>
      <w:proofErr w:type="spellEnd"/>
      <w:r w:rsidRPr="004E60A2">
        <w:rPr>
          <w:rFonts w:ascii="Times New Roman" w:hAnsi="Times New Roman" w:cs="Times New Roman"/>
          <w:sz w:val="24"/>
          <w:szCs w:val="24"/>
          <w:lang w:eastAsia="uk-UA"/>
        </w:rPr>
        <w:t xml:space="preserve"> послуг, кваліфікацією співробітників постачальника послуг та діями стосовно зменшення ризику пов’язаного з плинністю кадрів, а також опис процесів навчання та покращення навичок та знань.</w:t>
      </w:r>
    </w:p>
    <w:p w14:paraId="24E7207A"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е) Розробка плану навчання та інформування, консалтинг щодо проведення:</w:t>
      </w:r>
    </w:p>
    <w:p w14:paraId="51D5A097" w14:textId="77777777" w:rsidR="004E60A2" w:rsidRPr="004E60A2" w:rsidRDefault="004E60A2" w:rsidP="004E60A2">
      <w:pPr>
        <w:numPr>
          <w:ilvl w:val="0"/>
          <w:numId w:val="42"/>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тренінгів та інструктажів;   </w:t>
      </w:r>
    </w:p>
    <w:p w14:paraId="0B7EAA82" w14:textId="77777777" w:rsidR="004E60A2" w:rsidRPr="004E60A2" w:rsidRDefault="004E60A2" w:rsidP="004E60A2">
      <w:pPr>
        <w:numPr>
          <w:ilvl w:val="0"/>
          <w:numId w:val="42"/>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встановлення вимог до персоналу згідно до їх ролі у забезпеченні функціонування СУІБ;</w:t>
      </w:r>
    </w:p>
    <w:p w14:paraId="155FF50D" w14:textId="77777777" w:rsidR="004E60A2" w:rsidRPr="004E60A2" w:rsidRDefault="004E60A2" w:rsidP="004E60A2">
      <w:pPr>
        <w:numPr>
          <w:ilvl w:val="0"/>
          <w:numId w:val="42"/>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навчання персоналу ризикам інформаційної безпеки, з якими стикається організація, а також методам реагування на події та інциденти; </w:t>
      </w:r>
    </w:p>
    <w:p w14:paraId="1D48B390" w14:textId="77777777" w:rsidR="004E60A2" w:rsidRPr="004E60A2" w:rsidRDefault="004E60A2" w:rsidP="004E60A2">
      <w:pPr>
        <w:numPr>
          <w:ilvl w:val="0"/>
          <w:numId w:val="42"/>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ознайомлення з політиками, процедурами дисциплінарної відповідальності або санкцій для персоналу, які порушили вимоги політик інформаційної безпеки;</w:t>
      </w:r>
    </w:p>
    <w:p w14:paraId="091D6BDD" w14:textId="77777777" w:rsidR="004E60A2" w:rsidRPr="004E60A2" w:rsidRDefault="004E60A2" w:rsidP="004E60A2">
      <w:pPr>
        <w:numPr>
          <w:ilvl w:val="0"/>
          <w:numId w:val="42"/>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ознайомлення з процедурами захисту від шкідливих програм та протидії соціальній інженерії;</w:t>
      </w:r>
    </w:p>
    <w:p w14:paraId="48BFBAE0" w14:textId="77777777" w:rsidR="004E60A2" w:rsidRPr="004E60A2" w:rsidRDefault="004E60A2" w:rsidP="004E60A2">
      <w:pPr>
        <w:numPr>
          <w:ilvl w:val="0"/>
          <w:numId w:val="42"/>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заходів із дотримання вимог інформаційної безпеки.</w:t>
      </w:r>
    </w:p>
    <w:p w14:paraId="7E71090D"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ab/>
        <w:t xml:space="preserve">Консультаційні послуги щодо розробки структурованої річної програми навчання і підвищення обізнаності персоналу з питань інформаційної безпеки із фіксуванням періодичності проведення інструктажів, тренінгів з </w:t>
      </w:r>
      <w:proofErr w:type="spellStart"/>
      <w:r w:rsidRPr="004E60A2">
        <w:rPr>
          <w:rFonts w:ascii="Times New Roman" w:hAnsi="Times New Roman" w:cs="Times New Roman"/>
          <w:sz w:val="24"/>
          <w:szCs w:val="24"/>
          <w:lang w:eastAsia="uk-UA"/>
        </w:rPr>
        <w:t>кібергігієни</w:t>
      </w:r>
      <w:proofErr w:type="spellEnd"/>
      <w:r w:rsidRPr="004E60A2">
        <w:rPr>
          <w:rFonts w:ascii="Times New Roman" w:hAnsi="Times New Roman" w:cs="Times New Roman"/>
          <w:sz w:val="24"/>
          <w:szCs w:val="24"/>
          <w:lang w:eastAsia="uk-UA"/>
        </w:rPr>
        <w:t xml:space="preserve">, навчань з питань інформаційної безпеки та заходів захисту персональних даних (далі – Річна програма навчання), яка послідовно та помісячно охоплює усі контролі ДСТУ ISO/IEC 27001:2023 із диференціацією тематики навчань за цільовими групами у відповідності до ролевої моделі СУІБ залежно від функціональних обов’язків та з урахуванням професійної кваліфікації співробітників (звичайні користувачі, привілейовані користувачі, користувачі з адміністративними правами, спеціалісти підрозділу з </w:t>
      </w:r>
      <w:proofErr w:type="spellStart"/>
      <w:r w:rsidRPr="004E60A2">
        <w:rPr>
          <w:rFonts w:ascii="Times New Roman" w:hAnsi="Times New Roman" w:cs="Times New Roman"/>
          <w:sz w:val="24"/>
          <w:szCs w:val="24"/>
          <w:lang w:eastAsia="uk-UA"/>
        </w:rPr>
        <w:t>кібербезпеки</w:t>
      </w:r>
      <w:proofErr w:type="spellEnd"/>
      <w:r w:rsidRPr="004E60A2">
        <w:rPr>
          <w:rFonts w:ascii="Times New Roman" w:hAnsi="Times New Roman" w:cs="Times New Roman"/>
          <w:sz w:val="24"/>
          <w:szCs w:val="24"/>
          <w:lang w:eastAsia="uk-UA"/>
        </w:rPr>
        <w:t xml:space="preserve">, спеціалісти групи реагування на витік персональних даних, IT-персонал тощо) з дотриманням вимог Постанови КМУ від 26.11.2025 № 1533 “Деякі питання реагування на </w:t>
      </w:r>
      <w:proofErr w:type="spellStart"/>
      <w:r w:rsidRPr="004E60A2">
        <w:rPr>
          <w:rFonts w:ascii="Times New Roman" w:hAnsi="Times New Roman" w:cs="Times New Roman"/>
          <w:sz w:val="24"/>
          <w:szCs w:val="24"/>
          <w:lang w:eastAsia="uk-UA"/>
        </w:rPr>
        <w:t>кіберінциденти</w:t>
      </w:r>
      <w:proofErr w:type="spellEnd"/>
      <w:r w:rsidRPr="004E60A2">
        <w:rPr>
          <w:rFonts w:ascii="Times New Roman" w:hAnsi="Times New Roman" w:cs="Times New Roman"/>
          <w:sz w:val="24"/>
          <w:szCs w:val="24"/>
          <w:lang w:eastAsia="uk-UA"/>
        </w:rPr>
        <w:t xml:space="preserve">, кібератаки та </w:t>
      </w:r>
      <w:proofErr w:type="spellStart"/>
      <w:r w:rsidRPr="004E60A2">
        <w:rPr>
          <w:rFonts w:ascii="Times New Roman" w:hAnsi="Times New Roman" w:cs="Times New Roman"/>
          <w:sz w:val="24"/>
          <w:szCs w:val="24"/>
          <w:lang w:eastAsia="uk-UA"/>
        </w:rPr>
        <w:t>кіберзагрози</w:t>
      </w:r>
      <w:proofErr w:type="spellEnd"/>
      <w:r w:rsidRPr="004E60A2">
        <w:rPr>
          <w:rFonts w:ascii="Times New Roman" w:hAnsi="Times New Roman" w:cs="Times New Roman"/>
          <w:sz w:val="24"/>
          <w:szCs w:val="24"/>
          <w:lang w:eastAsia="uk-UA"/>
        </w:rPr>
        <w:t xml:space="preserve">”, Постанови КМУ від 08.10.2025 № 1281 “Про затвердження Порядку проведення інструктажів та систематичних тренінгів щодо </w:t>
      </w:r>
      <w:proofErr w:type="spellStart"/>
      <w:r w:rsidRPr="004E60A2">
        <w:rPr>
          <w:rFonts w:ascii="Times New Roman" w:hAnsi="Times New Roman" w:cs="Times New Roman"/>
          <w:sz w:val="24"/>
          <w:szCs w:val="24"/>
          <w:lang w:eastAsia="uk-UA"/>
        </w:rPr>
        <w:t>кібергігієни</w:t>
      </w:r>
      <w:proofErr w:type="spellEnd"/>
      <w:r w:rsidRPr="004E60A2">
        <w:rPr>
          <w:rFonts w:ascii="Times New Roman" w:hAnsi="Times New Roman" w:cs="Times New Roman"/>
          <w:sz w:val="24"/>
          <w:szCs w:val="24"/>
          <w:lang w:eastAsia="uk-UA"/>
        </w:rPr>
        <w:t xml:space="preserve">”. </w:t>
      </w:r>
    </w:p>
    <w:p w14:paraId="51752438"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ab/>
        <w:t xml:space="preserve">Розробка плану навчання та інформування (далі – План навчання) із створенням навчальних матеріалів та тестів за темою «Основи інформаційної безпеки та </w:t>
      </w:r>
      <w:proofErr w:type="spellStart"/>
      <w:r w:rsidRPr="004E60A2">
        <w:rPr>
          <w:rFonts w:ascii="Times New Roman" w:hAnsi="Times New Roman" w:cs="Times New Roman"/>
          <w:sz w:val="24"/>
          <w:szCs w:val="24"/>
          <w:lang w:eastAsia="uk-UA"/>
        </w:rPr>
        <w:t>кіберзахисту</w:t>
      </w:r>
      <w:proofErr w:type="spellEnd"/>
      <w:r w:rsidRPr="004E60A2">
        <w:rPr>
          <w:rFonts w:ascii="Times New Roman" w:hAnsi="Times New Roman" w:cs="Times New Roman"/>
          <w:sz w:val="24"/>
          <w:szCs w:val="24"/>
          <w:lang w:eastAsia="uk-UA"/>
        </w:rPr>
        <w:t xml:space="preserve">»,  як прикладу для подальшого послідовного та помісячного формування навчальних матеріалів Замовником із охопленням усіх контролів ДСТУ ISO/IEC 27001:2023 відповідно до Річної програми навчань. На прикладі  матеріалів за темою «Основи інформаційної безпеки та </w:t>
      </w:r>
      <w:proofErr w:type="spellStart"/>
      <w:r w:rsidRPr="004E60A2">
        <w:rPr>
          <w:rFonts w:ascii="Times New Roman" w:hAnsi="Times New Roman" w:cs="Times New Roman"/>
          <w:sz w:val="24"/>
          <w:szCs w:val="24"/>
          <w:lang w:eastAsia="uk-UA"/>
        </w:rPr>
        <w:t>кіберзахисту</w:t>
      </w:r>
      <w:proofErr w:type="spellEnd"/>
      <w:r w:rsidRPr="004E60A2">
        <w:rPr>
          <w:rFonts w:ascii="Times New Roman" w:hAnsi="Times New Roman" w:cs="Times New Roman"/>
          <w:sz w:val="24"/>
          <w:szCs w:val="24"/>
          <w:lang w:eastAsia="uk-UA"/>
        </w:rPr>
        <w:t>» продемонструвати Замовнику процедури проведення навчань за наступними формати активності: 1)проведення очних або онлайн-занять із застосуванням навчальних відео-матеріалів та презентацій, 2) перевірка ефективності засвоєння навчального матеріалу методом проведення тестувань згідно підготовлених тестів, 3) документування результатів навчань як підтвердження здобутих теоретичних знань та практичних навичок відповідно до вимог ДСТУ ISO/IEC 27001:2023 (</w:t>
      </w:r>
      <w:proofErr w:type="spellStart"/>
      <w:r w:rsidRPr="004E60A2">
        <w:rPr>
          <w:rFonts w:ascii="Times New Roman" w:hAnsi="Times New Roman" w:cs="Times New Roman"/>
          <w:sz w:val="24"/>
          <w:szCs w:val="24"/>
          <w:lang w:eastAsia="uk-UA"/>
        </w:rPr>
        <w:t>Annex</w:t>
      </w:r>
      <w:proofErr w:type="spellEnd"/>
      <w:r w:rsidRPr="004E60A2">
        <w:rPr>
          <w:rFonts w:ascii="Times New Roman" w:hAnsi="Times New Roman" w:cs="Times New Roman"/>
          <w:sz w:val="24"/>
          <w:szCs w:val="24"/>
          <w:lang w:eastAsia="uk-UA"/>
        </w:rPr>
        <w:t xml:space="preserve"> A), ДСТУ ISO/IEC 27701:2022 (</w:t>
      </w:r>
      <w:proofErr w:type="spellStart"/>
      <w:r w:rsidRPr="004E60A2">
        <w:rPr>
          <w:rFonts w:ascii="Times New Roman" w:hAnsi="Times New Roman" w:cs="Times New Roman"/>
          <w:sz w:val="24"/>
          <w:szCs w:val="24"/>
          <w:lang w:eastAsia="uk-UA"/>
        </w:rPr>
        <w:t>Annex</w:t>
      </w:r>
      <w:proofErr w:type="spellEnd"/>
      <w:r w:rsidRPr="004E60A2">
        <w:rPr>
          <w:rFonts w:ascii="Times New Roman" w:hAnsi="Times New Roman" w:cs="Times New Roman"/>
          <w:sz w:val="24"/>
          <w:szCs w:val="24"/>
          <w:lang w:eastAsia="uk-UA"/>
        </w:rPr>
        <w:t xml:space="preserve"> A/В), 4) </w:t>
      </w:r>
      <w:r w:rsidRPr="004E60A2">
        <w:rPr>
          <w:rFonts w:ascii="Times New Roman" w:hAnsi="Times New Roman" w:cs="Times New Roman"/>
          <w:sz w:val="24"/>
          <w:szCs w:val="24"/>
          <w:lang w:eastAsia="uk-UA"/>
        </w:rPr>
        <w:lastRenderedPageBreak/>
        <w:t>моніторинг і контроль з боку керівного складу організації щодо своєчасності, результативності проведених навчань та повноти охоплення персоналу за конкретною роллю відповідного структурного підрозділу.</w:t>
      </w:r>
    </w:p>
    <w:p w14:paraId="15FB52C9"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Надання рекомендацій щодо ефективного використання штатних сервісів ОС та офісних програм Microsoft із застосуванням сучасних технологій в цілях виконання річної програми навчання та вдосконалення можливостей СУІБ методом автоматизації процесу формування навчальних матеріалів, тестування або внесення коригувань в навчальні матеріали у разі зміни регуляторних вимог або зміни ландшафту загроз. Проведення навчань із зацікавленими особами Замовника щодо використання розроблених Виконавцем навчальних матеріалів за темою «Основи інформаційної безпеки та </w:t>
      </w:r>
      <w:proofErr w:type="spellStart"/>
      <w:r w:rsidRPr="004E60A2">
        <w:rPr>
          <w:rFonts w:ascii="Times New Roman" w:hAnsi="Times New Roman" w:cs="Times New Roman"/>
          <w:sz w:val="24"/>
          <w:szCs w:val="24"/>
          <w:lang w:eastAsia="uk-UA"/>
        </w:rPr>
        <w:t>кіберзахисту</w:t>
      </w:r>
      <w:proofErr w:type="spellEnd"/>
      <w:r w:rsidRPr="004E60A2">
        <w:rPr>
          <w:rFonts w:ascii="Times New Roman" w:hAnsi="Times New Roman" w:cs="Times New Roman"/>
          <w:sz w:val="24"/>
          <w:szCs w:val="24"/>
          <w:lang w:eastAsia="uk-UA"/>
        </w:rPr>
        <w:t>» (навчальні текстові та відео-матеріали, тести, документовані звіти по результатам тестів) з метою формування та впровадження процесів інтерактивного навчання із наданням інструкції керівнику по управлінню системою проведення навчань, покрокової інструкції користувачу для проходження тесту, інструкції користувачу щодо звітування та документування результатів тесту. Процеси інтерактивного навчання спрямовані на удосконалення СУІБ через автоматизацію контролю за його проходженням, вимірюванням ефективності та автоматичним документуванням результатів тестувань для подальшого моніторингу результативності.</w:t>
      </w:r>
    </w:p>
    <w:p w14:paraId="65A3A5B6" w14:textId="77777777" w:rsidR="004E60A2" w:rsidRPr="004E60A2" w:rsidRDefault="004E60A2" w:rsidP="004E60A2">
      <w:pPr>
        <w:spacing w:after="0" w:line="240" w:lineRule="auto"/>
        <w:jc w:val="both"/>
        <w:rPr>
          <w:rFonts w:ascii="Times New Roman" w:hAnsi="Times New Roman" w:cs="Times New Roman"/>
          <w:b/>
          <w:bCs/>
          <w:sz w:val="24"/>
          <w:szCs w:val="24"/>
          <w:lang w:eastAsia="uk-UA"/>
        </w:rPr>
      </w:pPr>
    </w:p>
    <w:p w14:paraId="521915E7" w14:textId="77777777" w:rsidR="004E60A2" w:rsidRPr="004E60A2" w:rsidRDefault="004E60A2" w:rsidP="004E60A2">
      <w:pPr>
        <w:spacing w:after="0" w:line="240" w:lineRule="auto"/>
        <w:jc w:val="both"/>
        <w:rPr>
          <w:rFonts w:ascii="Times New Roman" w:hAnsi="Times New Roman" w:cs="Times New Roman"/>
          <w:i/>
          <w:sz w:val="24"/>
          <w:szCs w:val="24"/>
          <w:lang w:eastAsia="uk-UA"/>
        </w:rPr>
      </w:pPr>
      <w:r w:rsidRPr="004E60A2">
        <w:rPr>
          <w:rFonts w:ascii="Times New Roman" w:hAnsi="Times New Roman" w:cs="Times New Roman"/>
          <w:b/>
          <w:bCs/>
          <w:sz w:val="24"/>
          <w:szCs w:val="24"/>
          <w:lang w:eastAsia="uk-UA"/>
        </w:rPr>
        <w:t xml:space="preserve">Результат виконання Етапу 2: </w:t>
      </w:r>
      <w:r w:rsidRPr="004E60A2">
        <w:rPr>
          <w:rFonts w:ascii="Times New Roman" w:hAnsi="Times New Roman" w:cs="Times New Roman"/>
          <w:sz w:val="24"/>
          <w:szCs w:val="24"/>
          <w:lang w:eastAsia="uk-UA"/>
        </w:rPr>
        <w:t>комплект проєктних документів, згідно переліку</w:t>
      </w:r>
    </w:p>
    <w:tbl>
      <w:tblPr>
        <w:tblStyle w:val="26"/>
        <w:tblpPr w:leftFromText="180" w:rightFromText="180" w:vertAnchor="text" w:horzAnchor="margin" w:tblpXSpec="right" w:tblpY="124"/>
        <w:tblW w:w="0" w:type="auto"/>
        <w:tblLook w:val="01E0" w:firstRow="1" w:lastRow="1" w:firstColumn="1" w:lastColumn="1" w:noHBand="0" w:noVBand="0"/>
      </w:tblPr>
      <w:tblGrid>
        <w:gridCol w:w="9627"/>
      </w:tblGrid>
      <w:tr w:rsidR="004E60A2" w:rsidRPr="004E60A2" w14:paraId="2AFA0B06" w14:textId="77777777" w:rsidTr="0099075F">
        <w:trPr>
          <w:trHeight w:val="412"/>
        </w:trPr>
        <w:tc>
          <w:tcPr>
            <w:tcW w:w="0" w:type="auto"/>
          </w:tcPr>
          <w:p w14:paraId="276A1024" w14:textId="77777777" w:rsidR="004E60A2" w:rsidRPr="004E60A2" w:rsidRDefault="004E60A2" w:rsidP="004E60A2">
            <w:pPr>
              <w:jc w:val="both"/>
              <w:rPr>
                <w:rFonts w:ascii="Times New Roman" w:hAnsi="Times New Roman" w:cs="Times New Roman"/>
                <w:b/>
                <w:sz w:val="24"/>
                <w:szCs w:val="24"/>
                <w:lang w:eastAsia="uk-UA"/>
              </w:rPr>
            </w:pPr>
            <w:r w:rsidRPr="004E60A2">
              <w:rPr>
                <w:rFonts w:ascii="Times New Roman" w:hAnsi="Times New Roman" w:cs="Times New Roman"/>
                <w:b/>
                <w:sz w:val="24"/>
                <w:szCs w:val="24"/>
                <w:lang w:eastAsia="uk-UA"/>
              </w:rPr>
              <w:t>Перелік проєктних документів, що становлять собою результат виконання 2 етапу</w:t>
            </w:r>
          </w:p>
        </w:tc>
      </w:tr>
      <w:tr w:rsidR="004E60A2" w:rsidRPr="004E60A2" w14:paraId="03354013" w14:textId="77777777" w:rsidTr="0099075F">
        <w:trPr>
          <w:trHeight w:val="418"/>
        </w:trPr>
        <w:tc>
          <w:tcPr>
            <w:tcW w:w="0" w:type="auto"/>
            <w:hideMark/>
          </w:tcPr>
          <w:p w14:paraId="5585A5C4"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1. Політика інформаційної безпеки </w:t>
            </w:r>
          </w:p>
        </w:tc>
      </w:tr>
      <w:tr w:rsidR="004E60A2" w:rsidRPr="004E60A2" w14:paraId="54AF4A5E" w14:textId="77777777" w:rsidTr="0099075F">
        <w:trPr>
          <w:trHeight w:val="432"/>
        </w:trPr>
        <w:tc>
          <w:tcPr>
            <w:tcW w:w="0" w:type="auto"/>
          </w:tcPr>
          <w:p w14:paraId="2CE7D3A6"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2. Положення щодо організації заходів </w:t>
            </w:r>
            <w:proofErr w:type="spellStart"/>
            <w:r w:rsidRPr="004E60A2">
              <w:rPr>
                <w:rFonts w:ascii="Times New Roman" w:hAnsi="Times New Roman" w:cs="Times New Roman"/>
                <w:sz w:val="24"/>
                <w:szCs w:val="24"/>
                <w:lang w:eastAsia="uk-UA"/>
              </w:rPr>
              <w:t>кібербезпеки</w:t>
            </w:r>
            <w:proofErr w:type="spellEnd"/>
            <w:r w:rsidRPr="004E60A2">
              <w:rPr>
                <w:rFonts w:ascii="Times New Roman" w:hAnsi="Times New Roman" w:cs="Times New Roman"/>
                <w:sz w:val="24"/>
                <w:szCs w:val="24"/>
                <w:lang w:eastAsia="uk-UA"/>
              </w:rPr>
              <w:t xml:space="preserve"> </w:t>
            </w:r>
          </w:p>
        </w:tc>
      </w:tr>
      <w:tr w:rsidR="004E60A2" w:rsidRPr="004E60A2" w14:paraId="11AFDD77" w14:textId="77777777" w:rsidTr="0099075F">
        <w:trPr>
          <w:trHeight w:val="432"/>
        </w:trPr>
        <w:tc>
          <w:tcPr>
            <w:tcW w:w="0" w:type="auto"/>
          </w:tcPr>
          <w:p w14:paraId="63C4D86E"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3. Політика ІТ безпеки</w:t>
            </w:r>
          </w:p>
        </w:tc>
      </w:tr>
      <w:tr w:rsidR="004E60A2" w:rsidRPr="004E60A2" w14:paraId="183CEEFB" w14:textId="77777777" w:rsidTr="0099075F">
        <w:trPr>
          <w:trHeight w:val="432"/>
        </w:trPr>
        <w:tc>
          <w:tcPr>
            <w:tcW w:w="0" w:type="auto"/>
          </w:tcPr>
          <w:p w14:paraId="22CFC81E"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4. Політика чистого стола та чистого екрану</w:t>
            </w:r>
          </w:p>
        </w:tc>
      </w:tr>
      <w:tr w:rsidR="004E60A2" w:rsidRPr="004E60A2" w14:paraId="0E18A22F" w14:textId="77777777" w:rsidTr="0099075F">
        <w:trPr>
          <w:trHeight w:val="432"/>
        </w:trPr>
        <w:tc>
          <w:tcPr>
            <w:tcW w:w="0" w:type="auto"/>
          </w:tcPr>
          <w:p w14:paraId="74A8E2FB"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5. Політика щодо мобільних пристроїв, дистанційної роботи та роботи з дому</w:t>
            </w:r>
          </w:p>
        </w:tc>
      </w:tr>
      <w:tr w:rsidR="004E60A2" w:rsidRPr="004E60A2" w14:paraId="00A6918D" w14:textId="77777777" w:rsidTr="0099075F">
        <w:trPr>
          <w:trHeight w:val="432"/>
        </w:trPr>
        <w:tc>
          <w:tcPr>
            <w:tcW w:w="0" w:type="auto"/>
          </w:tcPr>
          <w:p w14:paraId="6212A73C"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6. Політика використання власного пристрою</w:t>
            </w:r>
          </w:p>
        </w:tc>
      </w:tr>
      <w:tr w:rsidR="004E60A2" w:rsidRPr="004E60A2" w14:paraId="265CC619" w14:textId="77777777" w:rsidTr="0099075F">
        <w:trPr>
          <w:trHeight w:val="432"/>
        </w:trPr>
        <w:tc>
          <w:tcPr>
            <w:tcW w:w="0" w:type="auto"/>
          </w:tcPr>
          <w:p w14:paraId="112A7F27"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7. Політика класифікації інформації</w:t>
            </w:r>
          </w:p>
        </w:tc>
      </w:tr>
      <w:tr w:rsidR="004E60A2" w:rsidRPr="004E60A2" w14:paraId="3D75315A" w14:textId="77777777" w:rsidTr="0099075F">
        <w:trPr>
          <w:trHeight w:val="459"/>
        </w:trPr>
        <w:tc>
          <w:tcPr>
            <w:tcW w:w="0" w:type="auto"/>
            <w:hideMark/>
          </w:tcPr>
          <w:p w14:paraId="502884A3"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8. Політика управління активами користувачів</w:t>
            </w:r>
          </w:p>
        </w:tc>
      </w:tr>
      <w:tr w:rsidR="004E60A2" w:rsidRPr="004E60A2" w14:paraId="304B4017" w14:textId="77777777" w:rsidTr="0099075F">
        <w:trPr>
          <w:trHeight w:val="432"/>
        </w:trPr>
        <w:tc>
          <w:tcPr>
            <w:tcW w:w="0" w:type="auto"/>
          </w:tcPr>
          <w:p w14:paraId="53F31A78"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9. Політика контролю доступу</w:t>
            </w:r>
          </w:p>
        </w:tc>
      </w:tr>
      <w:tr w:rsidR="004E60A2" w:rsidRPr="004E60A2" w14:paraId="14890CBF" w14:textId="77777777" w:rsidTr="0099075F">
        <w:trPr>
          <w:trHeight w:val="432"/>
        </w:trPr>
        <w:tc>
          <w:tcPr>
            <w:tcW w:w="0" w:type="auto"/>
          </w:tcPr>
          <w:p w14:paraId="51E68BAB"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10. Політика керування паролями </w:t>
            </w:r>
          </w:p>
        </w:tc>
      </w:tr>
      <w:tr w:rsidR="004E60A2" w:rsidRPr="004E60A2" w14:paraId="5B54D728" w14:textId="77777777" w:rsidTr="0099075F">
        <w:trPr>
          <w:trHeight w:val="432"/>
        </w:trPr>
        <w:tc>
          <w:tcPr>
            <w:tcW w:w="0" w:type="auto"/>
          </w:tcPr>
          <w:p w14:paraId="68BAA4E5"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11. Процедури безпеки для функціонування інформаційної інфраструктури</w:t>
            </w:r>
          </w:p>
        </w:tc>
      </w:tr>
      <w:tr w:rsidR="004E60A2" w:rsidRPr="004E60A2" w14:paraId="7FF0A2F2" w14:textId="77777777" w:rsidTr="0099075F">
        <w:trPr>
          <w:trHeight w:val="432"/>
        </w:trPr>
        <w:tc>
          <w:tcPr>
            <w:tcW w:w="0" w:type="auto"/>
          </w:tcPr>
          <w:p w14:paraId="60CEFDEF"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12. Процедур роботи в безпечних зонах</w:t>
            </w:r>
          </w:p>
        </w:tc>
      </w:tr>
      <w:tr w:rsidR="004E60A2" w:rsidRPr="004E60A2" w14:paraId="44AF6132" w14:textId="77777777" w:rsidTr="0099075F">
        <w:trPr>
          <w:trHeight w:val="432"/>
        </w:trPr>
        <w:tc>
          <w:tcPr>
            <w:tcW w:w="0" w:type="auto"/>
          </w:tcPr>
          <w:p w14:paraId="4DA8180C"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13. Політика управління змінами</w:t>
            </w:r>
          </w:p>
        </w:tc>
      </w:tr>
      <w:tr w:rsidR="004E60A2" w:rsidRPr="004E60A2" w14:paraId="3E1EB58B" w14:textId="77777777" w:rsidTr="0099075F">
        <w:trPr>
          <w:trHeight w:val="432"/>
        </w:trPr>
        <w:tc>
          <w:tcPr>
            <w:tcW w:w="0" w:type="auto"/>
          </w:tcPr>
          <w:p w14:paraId="17309707"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14. Політика резервного копіювання</w:t>
            </w:r>
          </w:p>
        </w:tc>
      </w:tr>
      <w:tr w:rsidR="004E60A2" w:rsidRPr="004E60A2" w14:paraId="73686217" w14:textId="77777777" w:rsidTr="0099075F">
        <w:trPr>
          <w:trHeight w:val="432"/>
        </w:trPr>
        <w:tc>
          <w:tcPr>
            <w:tcW w:w="0" w:type="auto"/>
          </w:tcPr>
          <w:p w14:paraId="3B2772B5"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15. Політика утилізації та знищення</w:t>
            </w:r>
          </w:p>
        </w:tc>
      </w:tr>
      <w:tr w:rsidR="004E60A2" w:rsidRPr="004E60A2" w14:paraId="2D39B18E" w14:textId="77777777" w:rsidTr="0099075F">
        <w:trPr>
          <w:trHeight w:val="432"/>
        </w:trPr>
        <w:tc>
          <w:tcPr>
            <w:tcW w:w="0" w:type="auto"/>
          </w:tcPr>
          <w:p w14:paraId="0688127B"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16. Політика використання криптографії</w:t>
            </w:r>
          </w:p>
        </w:tc>
      </w:tr>
      <w:tr w:rsidR="004E60A2" w:rsidRPr="004E60A2" w14:paraId="2F9BC632" w14:textId="77777777" w:rsidTr="0099075F">
        <w:trPr>
          <w:trHeight w:val="432"/>
        </w:trPr>
        <w:tc>
          <w:tcPr>
            <w:tcW w:w="0" w:type="auto"/>
          </w:tcPr>
          <w:p w14:paraId="195D6942"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17. Політика контролю доступу</w:t>
            </w:r>
          </w:p>
        </w:tc>
      </w:tr>
      <w:tr w:rsidR="004E60A2" w:rsidRPr="004E60A2" w14:paraId="0F8AEDBE" w14:textId="77777777" w:rsidTr="0099075F">
        <w:trPr>
          <w:trHeight w:val="432"/>
        </w:trPr>
        <w:tc>
          <w:tcPr>
            <w:tcW w:w="0" w:type="auto"/>
          </w:tcPr>
          <w:p w14:paraId="060F2F01"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18. Політика керування паролями</w:t>
            </w:r>
          </w:p>
        </w:tc>
      </w:tr>
      <w:tr w:rsidR="004E60A2" w:rsidRPr="004E60A2" w14:paraId="2D79335F" w14:textId="77777777" w:rsidTr="0099075F">
        <w:trPr>
          <w:trHeight w:val="432"/>
        </w:trPr>
        <w:tc>
          <w:tcPr>
            <w:tcW w:w="0" w:type="auto"/>
          </w:tcPr>
          <w:p w14:paraId="5FCF4439"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19. Політика безпечної розробки</w:t>
            </w:r>
          </w:p>
        </w:tc>
      </w:tr>
      <w:tr w:rsidR="004E60A2" w:rsidRPr="004E60A2" w14:paraId="33F443A7" w14:textId="77777777" w:rsidTr="0099075F">
        <w:trPr>
          <w:trHeight w:val="432"/>
        </w:trPr>
        <w:tc>
          <w:tcPr>
            <w:tcW w:w="0" w:type="auto"/>
          </w:tcPr>
          <w:p w14:paraId="1DB4963C"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20. Політика безпеки людських ресурсів</w:t>
            </w:r>
          </w:p>
        </w:tc>
      </w:tr>
      <w:tr w:rsidR="004E60A2" w:rsidRPr="004E60A2" w14:paraId="5EA80F1E" w14:textId="77777777" w:rsidTr="0099075F">
        <w:trPr>
          <w:trHeight w:val="432"/>
        </w:trPr>
        <w:tc>
          <w:tcPr>
            <w:tcW w:w="0" w:type="auto"/>
          </w:tcPr>
          <w:p w14:paraId="3CD43EED"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lastRenderedPageBreak/>
              <w:t>21. План безперервності бізнесу та аварійного відновлення (BC/DR)</w:t>
            </w:r>
          </w:p>
          <w:p w14:paraId="357EDB19"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bCs/>
                <w:i/>
                <w:iCs/>
                <w:sz w:val="24"/>
                <w:szCs w:val="24"/>
                <w:lang w:eastAsia="uk-UA"/>
              </w:rPr>
              <w:t>Примітка: Для кожної локації створюється окремий</w:t>
            </w:r>
          </w:p>
        </w:tc>
      </w:tr>
      <w:tr w:rsidR="004E60A2" w:rsidRPr="004E60A2" w14:paraId="1D5E375D" w14:textId="77777777" w:rsidTr="0099075F">
        <w:trPr>
          <w:trHeight w:val="432"/>
        </w:trPr>
        <w:tc>
          <w:tcPr>
            <w:tcW w:w="0" w:type="auto"/>
          </w:tcPr>
          <w:p w14:paraId="7058E536"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22. Заява про ознайомлення та прийняття документів системи управління інформаційною безпекою та  конфіденційністю</w:t>
            </w:r>
          </w:p>
        </w:tc>
      </w:tr>
      <w:tr w:rsidR="004E60A2" w:rsidRPr="004E60A2" w14:paraId="113C22FA" w14:textId="77777777" w:rsidTr="0099075F">
        <w:trPr>
          <w:trHeight w:val="432"/>
        </w:trPr>
        <w:tc>
          <w:tcPr>
            <w:tcW w:w="0" w:type="auto"/>
          </w:tcPr>
          <w:p w14:paraId="427EB03E"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23. Процедури управління інцидентами</w:t>
            </w:r>
          </w:p>
        </w:tc>
      </w:tr>
      <w:tr w:rsidR="004E60A2" w:rsidRPr="004E60A2" w14:paraId="3B0EDB93" w14:textId="77777777" w:rsidTr="0099075F">
        <w:trPr>
          <w:trHeight w:val="432"/>
        </w:trPr>
        <w:tc>
          <w:tcPr>
            <w:tcW w:w="0" w:type="auto"/>
          </w:tcPr>
          <w:p w14:paraId="4B168C3D"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24. План реагування на інциденти </w:t>
            </w:r>
          </w:p>
        </w:tc>
      </w:tr>
      <w:tr w:rsidR="004E60A2" w:rsidRPr="004E60A2" w14:paraId="5D366694" w14:textId="77777777" w:rsidTr="0099075F">
        <w:trPr>
          <w:trHeight w:val="432"/>
        </w:trPr>
        <w:tc>
          <w:tcPr>
            <w:tcW w:w="0" w:type="auto"/>
          </w:tcPr>
          <w:p w14:paraId="440A60F5"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25. Політика безпеки постачальників </w:t>
            </w:r>
          </w:p>
        </w:tc>
      </w:tr>
      <w:tr w:rsidR="004E60A2" w:rsidRPr="004E60A2" w14:paraId="1C5BF373" w14:textId="77777777" w:rsidTr="0099075F">
        <w:trPr>
          <w:trHeight w:val="432"/>
        </w:trPr>
        <w:tc>
          <w:tcPr>
            <w:tcW w:w="0" w:type="auto"/>
          </w:tcPr>
          <w:p w14:paraId="0B0A11DD"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26. План комунікацій</w:t>
            </w:r>
          </w:p>
        </w:tc>
      </w:tr>
      <w:tr w:rsidR="004E60A2" w:rsidRPr="004E60A2" w14:paraId="5C1A157D" w14:textId="77777777" w:rsidTr="0099075F">
        <w:trPr>
          <w:trHeight w:val="432"/>
        </w:trPr>
        <w:tc>
          <w:tcPr>
            <w:tcW w:w="0" w:type="auto"/>
          </w:tcPr>
          <w:p w14:paraId="0E97440B"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27. Річна програма навчань</w:t>
            </w:r>
          </w:p>
        </w:tc>
      </w:tr>
      <w:tr w:rsidR="004E60A2" w:rsidRPr="004E60A2" w14:paraId="63F0B82D" w14:textId="77777777" w:rsidTr="0099075F">
        <w:trPr>
          <w:trHeight w:val="432"/>
        </w:trPr>
        <w:tc>
          <w:tcPr>
            <w:tcW w:w="0" w:type="auto"/>
          </w:tcPr>
          <w:p w14:paraId="6FB73ECA"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28. План навчання та інформування</w:t>
            </w:r>
          </w:p>
        </w:tc>
      </w:tr>
      <w:tr w:rsidR="004E60A2" w:rsidRPr="004E60A2" w14:paraId="55DF01F7" w14:textId="77777777" w:rsidTr="0099075F">
        <w:trPr>
          <w:trHeight w:val="432"/>
        </w:trPr>
        <w:tc>
          <w:tcPr>
            <w:tcW w:w="0" w:type="auto"/>
          </w:tcPr>
          <w:p w14:paraId="24D68CA9"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29. Інструкція керівнику по управлінню системою проведення навчань</w:t>
            </w:r>
          </w:p>
        </w:tc>
      </w:tr>
      <w:tr w:rsidR="004E60A2" w:rsidRPr="004E60A2" w14:paraId="32D9F997" w14:textId="77777777" w:rsidTr="0099075F">
        <w:trPr>
          <w:trHeight w:val="432"/>
        </w:trPr>
        <w:tc>
          <w:tcPr>
            <w:tcW w:w="0" w:type="auto"/>
          </w:tcPr>
          <w:p w14:paraId="675B4103"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30. Інструкція користувачу для проходження тесту</w:t>
            </w:r>
          </w:p>
        </w:tc>
      </w:tr>
      <w:tr w:rsidR="004E60A2" w:rsidRPr="004E60A2" w14:paraId="5AB061E3" w14:textId="77777777" w:rsidTr="0099075F">
        <w:trPr>
          <w:trHeight w:val="432"/>
        </w:trPr>
        <w:tc>
          <w:tcPr>
            <w:tcW w:w="0" w:type="auto"/>
          </w:tcPr>
          <w:p w14:paraId="6F48E61A"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31. Інструкція користувачу щодо звітування та документування результатів тесту </w:t>
            </w:r>
          </w:p>
        </w:tc>
      </w:tr>
      <w:tr w:rsidR="004E60A2" w:rsidRPr="004E60A2" w14:paraId="3F709FDD" w14:textId="77777777" w:rsidTr="0099075F">
        <w:trPr>
          <w:trHeight w:val="432"/>
        </w:trPr>
        <w:tc>
          <w:tcPr>
            <w:tcW w:w="0" w:type="auto"/>
          </w:tcPr>
          <w:p w14:paraId="3BA837C7"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32. Навчальні текстові та відео-матеріали  за темою «Основи інформаційної безпеки та </w:t>
            </w:r>
            <w:proofErr w:type="spellStart"/>
            <w:r w:rsidRPr="004E60A2">
              <w:rPr>
                <w:rFonts w:ascii="Times New Roman" w:hAnsi="Times New Roman" w:cs="Times New Roman"/>
                <w:sz w:val="24"/>
                <w:szCs w:val="24"/>
                <w:lang w:eastAsia="uk-UA"/>
              </w:rPr>
              <w:t>кіберзахисту</w:t>
            </w:r>
            <w:proofErr w:type="spellEnd"/>
            <w:r w:rsidRPr="004E60A2">
              <w:rPr>
                <w:rFonts w:ascii="Times New Roman" w:hAnsi="Times New Roman" w:cs="Times New Roman"/>
                <w:sz w:val="24"/>
                <w:szCs w:val="24"/>
                <w:lang w:eastAsia="uk-UA"/>
              </w:rPr>
              <w:t>»</w:t>
            </w:r>
          </w:p>
        </w:tc>
      </w:tr>
      <w:tr w:rsidR="004E60A2" w:rsidRPr="004E60A2" w14:paraId="645BC12C" w14:textId="77777777" w:rsidTr="0099075F">
        <w:trPr>
          <w:trHeight w:val="432"/>
        </w:trPr>
        <w:tc>
          <w:tcPr>
            <w:tcW w:w="0" w:type="auto"/>
          </w:tcPr>
          <w:p w14:paraId="5EB1C191"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33. Тести до навчальних матеріалів за темою «Основи інформаційної безпеки та </w:t>
            </w:r>
            <w:proofErr w:type="spellStart"/>
            <w:r w:rsidRPr="004E60A2">
              <w:rPr>
                <w:rFonts w:ascii="Times New Roman" w:hAnsi="Times New Roman" w:cs="Times New Roman"/>
                <w:sz w:val="24"/>
                <w:szCs w:val="24"/>
                <w:lang w:eastAsia="uk-UA"/>
              </w:rPr>
              <w:t>кіберзахисту</w:t>
            </w:r>
            <w:proofErr w:type="spellEnd"/>
            <w:r w:rsidRPr="004E60A2">
              <w:rPr>
                <w:rFonts w:ascii="Times New Roman" w:hAnsi="Times New Roman" w:cs="Times New Roman"/>
                <w:sz w:val="24"/>
                <w:szCs w:val="24"/>
                <w:lang w:eastAsia="uk-UA"/>
              </w:rPr>
              <w:t xml:space="preserve">» </w:t>
            </w:r>
          </w:p>
        </w:tc>
      </w:tr>
      <w:tr w:rsidR="004E60A2" w:rsidRPr="004E60A2" w14:paraId="60D9D4A9" w14:textId="77777777" w:rsidTr="0099075F">
        <w:trPr>
          <w:trHeight w:val="432"/>
        </w:trPr>
        <w:tc>
          <w:tcPr>
            <w:tcW w:w="0" w:type="auto"/>
          </w:tcPr>
          <w:p w14:paraId="2F0EAB99"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34. Звіти по результатам тестів (. </w:t>
            </w:r>
            <w:proofErr w:type="spellStart"/>
            <w:r w:rsidRPr="004E60A2">
              <w:rPr>
                <w:rFonts w:ascii="Times New Roman" w:hAnsi="Times New Roman" w:cs="Times New Roman"/>
                <w:sz w:val="24"/>
                <w:szCs w:val="24"/>
                <w:lang w:eastAsia="uk-UA"/>
              </w:rPr>
              <w:t>xlsx</w:t>
            </w:r>
            <w:proofErr w:type="spellEnd"/>
            <w:r w:rsidRPr="004E60A2">
              <w:rPr>
                <w:rFonts w:ascii="Times New Roman" w:hAnsi="Times New Roman" w:cs="Times New Roman"/>
                <w:sz w:val="24"/>
                <w:szCs w:val="24"/>
                <w:lang w:eastAsia="uk-UA"/>
              </w:rPr>
              <w:t>)</w:t>
            </w:r>
          </w:p>
        </w:tc>
      </w:tr>
      <w:tr w:rsidR="004E60A2" w:rsidRPr="004E60A2" w14:paraId="2F6C2B96" w14:textId="77777777" w:rsidTr="0099075F">
        <w:trPr>
          <w:trHeight w:val="432"/>
        </w:trPr>
        <w:tc>
          <w:tcPr>
            <w:tcW w:w="0" w:type="auto"/>
          </w:tcPr>
          <w:p w14:paraId="1FC04D8F"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35. Процедура внутрішнього аудиту</w:t>
            </w:r>
          </w:p>
        </w:tc>
      </w:tr>
      <w:tr w:rsidR="004E60A2" w:rsidRPr="004E60A2" w14:paraId="5E877E6B" w14:textId="77777777" w:rsidTr="0099075F">
        <w:trPr>
          <w:trHeight w:val="432"/>
        </w:trPr>
        <w:tc>
          <w:tcPr>
            <w:tcW w:w="0" w:type="auto"/>
          </w:tcPr>
          <w:p w14:paraId="63D0DBA7"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36. Річна програма внутрішнього аудиту (зразок та приклад заповнення)</w:t>
            </w:r>
          </w:p>
        </w:tc>
      </w:tr>
      <w:tr w:rsidR="004E60A2" w:rsidRPr="004E60A2" w14:paraId="00386431" w14:textId="77777777" w:rsidTr="0099075F">
        <w:trPr>
          <w:trHeight w:val="432"/>
        </w:trPr>
        <w:tc>
          <w:tcPr>
            <w:tcW w:w="0" w:type="auto"/>
          </w:tcPr>
          <w:p w14:paraId="0F09A62A"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37. План внутрішнього аудиту (зразок  та приклад заповнення)</w:t>
            </w:r>
          </w:p>
        </w:tc>
      </w:tr>
      <w:tr w:rsidR="004E60A2" w:rsidRPr="004E60A2" w14:paraId="530B1043" w14:textId="77777777" w:rsidTr="0099075F">
        <w:trPr>
          <w:trHeight w:val="432"/>
        </w:trPr>
        <w:tc>
          <w:tcPr>
            <w:tcW w:w="0" w:type="auto"/>
          </w:tcPr>
          <w:p w14:paraId="0E68517E"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38. Звіт внутрішнього аудиту (зразок та приклад заповнення)</w:t>
            </w:r>
          </w:p>
        </w:tc>
      </w:tr>
      <w:tr w:rsidR="004E60A2" w:rsidRPr="004E60A2" w14:paraId="277919E6" w14:textId="77777777" w:rsidTr="0099075F">
        <w:trPr>
          <w:trHeight w:val="432"/>
        </w:trPr>
        <w:tc>
          <w:tcPr>
            <w:tcW w:w="0" w:type="auto"/>
          </w:tcPr>
          <w:p w14:paraId="6A7BB91A"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39. Перелік контролів внутрішнього аудиту відповідно до вимог ДСТУ ISO/IEC 27001</w:t>
            </w:r>
          </w:p>
        </w:tc>
      </w:tr>
      <w:tr w:rsidR="004E60A2" w:rsidRPr="004E60A2" w14:paraId="0DB0E44E" w14:textId="77777777" w:rsidTr="0099075F">
        <w:trPr>
          <w:trHeight w:val="432"/>
        </w:trPr>
        <w:tc>
          <w:tcPr>
            <w:tcW w:w="0" w:type="auto"/>
          </w:tcPr>
          <w:p w14:paraId="6BE36544"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40. Лист-зобов’язання від аудитора (зразок)</w:t>
            </w:r>
          </w:p>
        </w:tc>
      </w:tr>
      <w:tr w:rsidR="004E60A2" w:rsidRPr="004E60A2" w14:paraId="09665068" w14:textId="77777777" w:rsidTr="0099075F">
        <w:trPr>
          <w:trHeight w:val="432"/>
        </w:trPr>
        <w:tc>
          <w:tcPr>
            <w:tcW w:w="0" w:type="auto"/>
          </w:tcPr>
          <w:p w14:paraId="56334EE3"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41. Графік аудиту (зразок)</w:t>
            </w:r>
          </w:p>
        </w:tc>
      </w:tr>
      <w:tr w:rsidR="004E60A2" w:rsidRPr="004E60A2" w14:paraId="4108511D" w14:textId="77777777" w:rsidTr="0099075F">
        <w:trPr>
          <w:trHeight w:val="432"/>
        </w:trPr>
        <w:tc>
          <w:tcPr>
            <w:tcW w:w="0" w:type="auto"/>
          </w:tcPr>
          <w:p w14:paraId="35275583"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42. План аудиторських тестів  (зразок та приклад проведення директивного інтерв’ю та проведення аудиторської вибірки: Метод вибірки: випадкова, систематична)"</w:t>
            </w:r>
          </w:p>
        </w:tc>
      </w:tr>
      <w:tr w:rsidR="004E60A2" w:rsidRPr="004E60A2" w14:paraId="222BDFC1" w14:textId="77777777" w:rsidTr="0099075F">
        <w:trPr>
          <w:trHeight w:val="432"/>
        </w:trPr>
        <w:tc>
          <w:tcPr>
            <w:tcW w:w="0" w:type="auto"/>
          </w:tcPr>
          <w:p w14:paraId="771CAD28"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43. Робочий документ аудитора (зразок)</w:t>
            </w:r>
          </w:p>
        </w:tc>
      </w:tr>
      <w:tr w:rsidR="004E60A2" w:rsidRPr="004E60A2" w14:paraId="413EBD87" w14:textId="77777777" w:rsidTr="0099075F">
        <w:trPr>
          <w:trHeight w:val="432"/>
        </w:trPr>
        <w:tc>
          <w:tcPr>
            <w:tcW w:w="0" w:type="auto"/>
          </w:tcPr>
          <w:p w14:paraId="0833AB49"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44. Записи з перевірки якості аудита (зразок, .</w:t>
            </w:r>
            <w:proofErr w:type="spellStart"/>
            <w:r w:rsidRPr="004E60A2">
              <w:rPr>
                <w:rFonts w:ascii="Times New Roman" w:hAnsi="Times New Roman" w:cs="Times New Roman"/>
                <w:sz w:val="24"/>
                <w:szCs w:val="24"/>
                <w:lang w:eastAsia="uk-UA"/>
              </w:rPr>
              <w:t>xlsx</w:t>
            </w:r>
            <w:proofErr w:type="spellEnd"/>
            <w:r w:rsidRPr="004E60A2">
              <w:rPr>
                <w:rFonts w:ascii="Times New Roman" w:hAnsi="Times New Roman" w:cs="Times New Roman"/>
                <w:sz w:val="24"/>
                <w:szCs w:val="24"/>
                <w:lang w:eastAsia="uk-UA"/>
              </w:rPr>
              <w:t>)</w:t>
            </w:r>
          </w:p>
        </w:tc>
      </w:tr>
      <w:tr w:rsidR="004E60A2" w:rsidRPr="004E60A2" w14:paraId="6B3EB811" w14:textId="77777777" w:rsidTr="0099075F">
        <w:trPr>
          <w:trHeight w:val="432"/>
        </w:trPr>
        <w:tc>
          <w:tcPr>
            <w:tcW w:w="0" w:type="auto"/>
          </w:tcPr>
          <w:p w14:paraId="1EF9ABC0"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45. Звіт про невідповідність (зразок  та приклад заповнення)</w:t>
            </w:r>
          </w:p>
        </w:tc>
      </w:tr>
      <w:tr w:rsidR="004E60A2" w:rsidRPr="004E60A2" w14:paraId="0888B006" w14:textId="77777777" w:rsidTr="0099075F">
        <w:trPr>
          <w:trHeight w:val="432"/>
        </w:trPr>
        <w:tc>
          <w:tcPr>
            <w:tcW w:w="0" w:type="auto"/>
          </w:tcPr>
          <w:p w14:paraId="602863C7"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46. Звіт про вимірювання (зразок)</w:t>
            </w:r>
          </w:p>
        </w:tc>
      </w:tr>
      <w:tr w:rsidR="004E60A2" w:rsidRPr="004E60A2" w14:paraId="6139E1C3" w14:textId="77777777" w:rsidTr="0099075F">
        <w:trPr>
          <w:trHeight w:val="432"/>
        </w:trPr>
        <w:tc>
          <w:tcPr>
            <w:tcW w:w="0" w:type="auto"/>
          </w:tcPr>
          <w:p w14:paraId="7ED58AC7"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47. Протокол огляду з боку керівництва (зразок)</w:t>
            </w:r>
          </w:p>
        </w:tc>
      </w:tr>
      <w:tr w:rsidR="004E60A2" w:rsidRPr="004E60A2" w14:paraId="31BF5148" w14:textId="77777777" w:rsidTr="0099075F">
        <w:trPr>
          <w:trHeight w:val="432"/>
        </w:trPr>
        <w:tc>
          <w:tcPr>
            <w:tcW w:w="0" w:type="auto"/>
          </w:tcPr>
          <w:p w14:paraId="0496DE38"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48. Процедура коригуючих дій </w:t>
            </w:r>
          </w:p>
          <w:p w14:paraId="2AD7BECC" w14:textId="77777777" w:rsidR="004E60A2" w:rsidRPr="004E60A2" w:rsidRDefault="004E60A2" w:rsidP="004E60A2">
            <w:pPr>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48.1. Додаток - Форма коригувальних дій</w:t>
            </w:r>
          </w:p>
        </w:tc>
      </w:tr>
    </w:tbl>
    <w:p w14:paraId="139E0157" w14:textId="77777777" w:rsidR="004E60A2" w:rsidRPr="004E60A2" w:rsidRDefault="004E60A2" w:rsidP="004E60A2">
      <w:pPr>
        <w:spacing w:after="0" w:line="240" w:lineRule="auto"/>
        <w:jc w:val="center"/>
        <w:rPr>
          <w:rFonts w:ascii="Times New Roman" w:hAnsi="Times New Roman" w:cs="Times New Roman"/>
          <w:b/>
          <w:bCs/>
          <w:sz w:val="24"/>
          <w:szCs w:val="24"/>
          <w:lang w:eastAsia="uk-UA"/>
        </w:rPr>
      </w:pPr>
    </w:p>
    <w:p w14:paraId="2FA61357" w14:textId="77777777" w:rsidR="004E60A2" w:rsidRPr="004E60A2" w:rsidRDefault="004E60A2" w:rsidP="004E60A2">
      <w:pPr>
        <w:spacing w:after="0" w:line="240" w:lineRule="auto"/>
        <w:jc w:val="center"/>
        <w:rPr>
          <w:rFonts w:ascii="Times New Roman" w:hAnsi="Times New Roman" w:cs="Times New Roman"/>
          <w:b/>
          <w:bCs/>
          <w:sz w:val="24"/>
          <w:szCs w:val="24"/>
          <w:lang w:eastAsia="uk-UA"/>
        </w:rPr>
      </w:pPr>
    </w:p>
    <w:p w14:paraId="1140B4F1" w14:textId="77777777" w:rsidR="004E60A2" w:rsidRPr="004E60A2" w:rsidRDefault="004E60A2" w:rsidP="004E60A2">
      <w:pPr>
        <w:spacing w:after="0" w:line="240" w:lineRule="auto"/>
        <w:jc w:val="center"/>
        <w:rPr>
          <w:rFonts w:ascii="Times New Roman" w:hAnsi="Times New Roman" w:cs="Times New Roman"/>
          <w:b/>
          <w:bCs/>
          <w:sz w:val="24"/>
          <w:szCs w:val="24"/>
          <w:lang w:eastAsia="uk-UA"/>
        </w:rPr>
      </w:pPr>
      <w:r w:rsidRPr="004E60A2">
        <w:rPr>
          <w:rFonts w:ascii="Times New Roman" w:hAnsi="Times New Roman" w:cs="Times New Roman"/>
          <w:b/>
          <w:bCs/>
          <w:sz w:val="24"/>
          <w:szCs w:val="24"/>
          <w:lang w:eastAsia="uk-UA"/>
        </w:rPr>
        <w:t>Етап 3</w:t>
      </w:r>
    </w:p>
    <w:p w14:paraId="7A6A4E33" w14:textId="77777777" w:rsidR="004E60A2" w:rsidRPr="004E60A2" w:rsidRDefault="004E60A2" w:rsidP="004E60A2">
      <w:pPr>
        <w:spacing w:after="0" w:line="240" w:lineRule="auto"/>
        <w:jc w:val="center"/>
        <w:rPr>
          <w:rFonts w:ascii="Times New Roman" w:hAnsi="Times New Roman" w:cs="Times New Roman"/>
          <w:b/>
          <w:bCs/>
          <w:sz w:val="24"/>
          <w:szCs w:val="24"/>
          <w:lang w:eastAsia="uk-UA"/>
        </w:rPr>
      </w:pPr>
      <w:r w:rsidRPr="004E60A2">
        <w:rPr>
          <w:rFonts w:ascii="Times New Roman" w:hAnsi="Times New Roman" w:cs="Times New Roman"/>
          <w:b/>
          <w:bCs/>
          <w:sz w:val="24"/>
          <w:szCs w:val="24"/>
          <w:lang w:eastAsia="uk-UA"/>
        </w:rPr>
        <w:t>Створення політик, настанов та процесів з побудови системи управління інформаційною безпекою, яка стосується захисту конфіденційності (відповідність ДСТУ ISO/IEC 27701)</w:t>
      </w:r>
      <w:r w:rsidRPr="004E60A2">
        <w:rPr>
          <w:rFonts w:ascii="Times New Roman" w:hAnsi="Times New Roman" w:cs="Times New Roman"/>
          <w:sz w:val="24"/>
          <w:szCs w:val="24"/>
          <w:lang w:eastAsia="uk-UA"/>
        </w:rPr>
        <w:br/>
      </w:r>
      <w:r w:rsidRPr="004E60A2">
        <w:rPr>
          <w:rFonts w:ascii="Times New Roman" w:hAnsi="Times New Roman" w:cs="Times New Roman"/>
          <w:b/>
          <w:bCs/>
          <w:sz w:val="24"/>
          <w:szCs w:val="24"/>
          <w:lang w:eastAsia="uk-UA"/>
        </w:rPr>
        <w:t>Тривалість:</w:t>
      </w:r>
      <w:r w:rsidRPr="004E60A2">
        <w:rPr>
          <w:rFonts w:ascii="Times New Roman" w:hAnsi="Times New Roman" w:cs="Times New Roman"/>
          <w:sz w:val="24"/>
          <w:szCs w:val="24"/>
          <w:lang w:eastAsia="uk-UA"/>
        </w:rPr>
        <w:t xml:space="preserve"> 30 робочих днів (з дати завершення Етапу 1)</w:t>
      </w:r>
    </w:p>
    <w:p w14:paraId="5B46F3C3" w14:textId="77777777" w:rsidR="004E60A2" w:rsidRPr="004E60A2" w:rsidRDefault="004E60A2" w:rsidP="004E60A2">
      <w:pPr>
        <w:spacing w:after="0" w:line="240" w:lineRule="auto"/>
        <w:jc w:val="center"/>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lastRenderedPageBreak/>
        <w:t>Завдання:</w:t>
      </w:r>
    </w:p>
    <w:p w14:paraId="4C0255C8" w14:textId="77777777" w:rsidR="004E60A2" w:rsidRPr="004E60A2" w:rsidRDefault="004E60A2" w:rsidP="004E60A2">
      <w:pPr>
        <w:spacing w:after="0" w:line="240" w:lineRule="auto"/>
        <w:jc w:val="both"/>
        <w:rPr>
          <w:rFonts w:ascii="Times New Roman" w:hAnsi="Times New Roman" w:cs="Times New Roman"/>
          <w:bCs/>
          <w:sz w:val="24"/>
          <w:szCs w:val="24"/>
          <w:lang w:eastAsia="uk-UA"/>
        </w:rPr>
      </w:pPr>
      <w:r w:rsidRPr="004E60A2">
        <w:rPr>
          <w:rFonts w:ascii="Times New Roman" w:hAnsi="Times New Roman" w:cs="Times New Roman"/>
          <w:sz w:val="24"/>
          <w:szCs w:val="24"/>
          <w:lang w:eastAsia="uk-UA"/>
        </w:rPr>
        <w:t xml:space="preserve">а)  </w:t>
      </w:r>
      <w:r w:rsidRPr="004E60A2">
        <w:rPr>
          <w:rFonts w:ascii="Times New Roman" w:hAnsi="Times New Roman" w:cs="Times New Roman"/>
          <w:bCs/>
          <w:sz w:val="24"/>
          <w:szCs w:val="24"/>
          <w:lang w:eastAsia="uk-UA"/>
        </w:rPr>
        <w:t xml:space="preserve">Проведення обстеження середовищ функціонування ІКС, на яку потенційно може вплинути обробка </w:t>
      </w:r>
      <w:r w:rsidRPr="004E60A2">
        <w:rPr>
          <w:rFonts w:ascii="Times New Roman" w:hAnsi="Times New Roman" w:cs="Times New Roman"/>
          <w:sz w:val="24"/>
          <w:szCs w:val="24"/>
          <w:lang w:eastAsia="uk-UA"/>
        </w:rPr>
        <w:t>персональних даних (надалі – PII)</w:t>
      </w:r>
      <w:r w:rsidRPr="004E60A2">
        <w:rPr>
          <w:rFonts w:ascii="Times New Roman" w:hAnsi="Times New Roman" w:cs="Times New Roman"/>
          <w:bCs/>
          <w:sz w:val="24"/>
          <w:szCs w:val="24"/>
          <w:lang w:eastAsia="uk-UA"/>
        </w:rPr>
        <w:t xml:space="preserve"> в межах створення системи управління конфіденційності (далі – PIMS, </w:t>
      </w:r>
      <w:proofErr w:type="spellStart"/>
      <w:r w:rsidRPr="004E60A2">
        <w:rPr>
          <w:rFonts w:ascii="Times New Roman" w:hAnsi="Times New Roman" w:cs="Times New Roman"/>
          <w:bCs/>
          <w:sz w:val="24"/>
          <w:szCs w:val="24"/>
          <w:lang w:eastAsia="uk-UA"/>
        </w:rPr>
        <w:t>Privacy</w:t>
      </w:r>
      <w:proofErr w:type="spellEnd"/>
      <w:r w:rsidRPr="004E60A2">
        <w:rPr>
          <w:rFonts w:ascii="Times New Roman" w:hAnsi="Times New Roman" w:cs="Times New Roman"/>
          <w:bCs/>
          <w:sz w:val="24"/>
          <w:szCs w:val="24"/>
          <w:lang w:eastAsia="uk-UA"/>
        </w:rPr>
        <w:t> </w:t>
      </w:r>
      <w:proofErr w:type="spellStart"/>
      <w:r w:rsidRPr="004E60A2">
        <w:rPr>
          <w:rFonts w:ascii="Times New Roman" w:hAnsi="Times New Roman" w:cs="Times New Roman"/>
          <w:bCs/>
          <w:sz w:val="24"/>
          <w:szCs w:val="24"/>
          <w:lang w:eastAsia="uk-UA"/>
        </w:rPr>
        <w:t>Information</w:t>
      </w:r>
      <w:proofErr w:type="spellEnd"/>
      <w:r w:rsidRPr="004E60A2">
        <w:rPr>
          <w:rFonts w:ascii="Times New Roman" w:hAnsi="Times New Roman" w:cs="Times New Roman"/>
          <w:bCs/>
          <w:sz w:val="24"/>
          <w:szCs w:val="24"/>
          <w:lang w:eastAsia="uk-UA"/>
        </w:rPr>
        <w:t> </w:t>
      </w:r>
      <w:proofErr w:type="spellStart"/>
      <w:r w:rsidRPr="004E60A2">
        <w:rPr>
          <w:rFonts w:ascii="Times New Roman" w:hAnsi="Times New Roman" w:cs="Times New Roman"/>
          <w:bCs/>
          <w:sz w:val="24"/>
          <w:szCs w:val="24"/>
          <w:lang w:eastAsia="uk-UA"/>
        </w:rPr>
        <w:t>Management</w:t>
      </w:r>
      <w:proofErr w:type="spellEnd"/>
      <w:r w:rsidRPr="004E60A2">
        <w:rPr>
          <w:rFonts w:ascii="Times New Roman" w:hAnsi="Times New Roman" w:cs="Times New Roman"/>
          <w:bCs/>
          <w:sz w:val="24"/>
          <w:szCs w:val="24"/>
          <w:lang w:eastAsia="uk-UA"/>
        </w:rPr>
        <w:t> </w:t>
      </w:r>
      <w:proofErr w:type="spellStart"/>
      <w:r w:rsidRPr="004E60A2">
        <w:rPr>
          <w:rFonts w:ascii="Times New Roman" w:hAnsi="Times New Roman" w:cs="Times New Roman"/>
          <w:bCs/>
          <w:sz w:val="24"/>
          <w:szCs w:val="24"/>
          <w:lang w:eastAsia="uk-UA"/>
        </w:rPr>
        <w:t>System</w:t>
      </w:r>
      <w:proofErr w:type="spellEnd"/>
      <w:r w:rsidRPr="004E60A2">
        <w:rPr>
          <w:rFonts w:ascii="Times New Roman" w:hAnsi="Times New Roman" w:cs="Times New Roman"/>
          <w:bCs/>
          <w:sz w:val="24"/>
          <w:szCs w:val="24"/>
          <w:lang w:eastAsia="uk-UA"/>
        </w:rPr>
        <w:t>). Аналіз застосованих технологій обробки</w:t>
      </w:r>
      <w:r w:rsidRPr="004E60A2">
        <w:rPr>
          <w:rFonts w:ascii="Times New Roman" w:hAnsi="Times New Roman" w:cs="Times New Roman"/>
          <w:sz w:val="24"/>
          <w:szCs w:val="24"/>
          <w:lang w:eastAsia="uk-UA"/>
        </w:rPr>
        <w:t xml:space="preserve"> PII</w:t>
      </w:r>
      <w:r w:rsidRPr="004E60A2">
        <w:rPr>
          <w:rFonts w:ascii="Times New Roman" w:hAnsi="Times New Roman" w:cs="Times New Roman"/>
          <w:bCs/>
          <w:sz w:val="24"/>
          <w:szCs w:val="24"/>
          <w:lang w:eastAsia="uk-UA"/>
        </w:rPr>
        <w:t xml:space="preserve"> у кожному визначеному інформаційному потоці (надалі – ІП) з врахуванням місця обробки PII </w:t>
      </w:r>
      <w:r w:rsidRPr="004E60A2">
        <w:rPr>
          <w:rFonts w:ascii="Times New Roman" w:hAnsi="Times New Roman" w:cs="Times New Roman"/>
          <w:sz w:val="24"/>
          <w:szCs w:val="24"/>
          <w:lang w:eastAsia="uk-UA"/>
        </w:rPr>
        <w:t>(в межах або за межами контрольованої зони)</w:t>
      </w:r>
      <w:r w:rsidRPr="004E60A2">
        <w:rPr>
          <w:rFonts w:ascii="Times New Roman" w:hAnsi="Times New Roman" w:cs="Times New Roman"/>
          <w:bCs/>
          <w:sz w:val="24"/>
          <w:szCs w:val="24"/>
          <w:lang w:eastAsia="uk-UA"/>
        </w:rPr>
        <w:t xml:space="preserve">, джерела утворення ІП та місця їх розташування. Аналіз процедур обробки PII Процесорами PII (постачальники сервісів, пов’язаних з PII), аналіз настанов, принципів та методів обробки інформаційних активів (включаючи застосовані технології шифрування </w:t>
      </w:r>
      <w:r w:rsidRPr="004E60A2">
        <w:rPr>
          <w:rFonts w:ascii="Times New Roman" w:hAnsi="Times New Roman" w:cs="Times New Roman"/>
          <w:sz w:val="24"/>
          <w:szCs w:val="24"/>
          <w:lang w:eastAsia="uk-UA"/>
        </w:rPr>
        <w:t>PII</w:t>
      </w:r>
      <w:r w:rsidRPr="004E60A2">
        <w:rPr>
          <w:rFonts w:ascii="Times New Roman" w:hAnsi="Times New Roman" w:cs="Times New Roman"/>
          <w:bCs/>
          <w:sz w:val="24"/>
          <w:szCs w:val="24"/>
          <w:lang w:eastAsia="uk-UA"/>
        </w:rPr>
        <w:t xml:space="preserve">, кваліфікованого електронного підпису, тощо). Аналіз видів носіїв </w:t>
      </w:r>
      <w:r w:rsidRPr="004E60A2">
        <w:rPr>
          <w:rFonts w:ascii="Times New Roman" w:hAnsi="Times New Roman" w:cs="Times New Roman"/>
          <w:sz w:val="24"/>
          <w:szCs w:val="24"/>
          <w:lang w:eastAsia="uk-UA"/>
        </w:rPr>
        <w:t>PII (локальні, мережеві, хмарні)</w:t>
      </w:r>
      <w:r w:rsidRPr="004E60A2">
        <w:rPr>
          <w:rFonts w:ascii="Times New Roman" w:hAnsi="Times New Roman" w:cs="Times New Roman"/>
          <w:bCs/>
          <w:sz w:val="24"/>
          <w:szCs w:val="24"/>
          <w:lang w:eastAsia="uk-UA"/>
        </w:rPr>
        <w:t xml:space="preserve"> та порядок їх використання під час функціонування PIMS. Для кожного структурного елемента ІП фіксується склад об’єктів захисту (робоча станція користувача, сервер, база даних, </w:t>
      </w:r>
      <w:proofErr w:type="spellStart"/>
      <w:r w:rsidRPr="004E60A2">
        <w:rPr>
          <w:rFonts w:ascii="Times New Roman" w:hAnsi="Times New Roman" w:cs="Times New Roman"/>
          <w:bCs/>
          <w:sz w:val="24"/>
          <w:szCs w:val="24"/>
          <w:lang w:eastAsia="uk-UA"/>
        </w:rPr>
        <w:t>з’ємні</w:t>
      </w:r>
      <w:proofErr w:type="spellEnd"/>
      <w:r w:rsidRPr="004E60A2">
        <w:rPr>
          <w:rFonts w:ascii="Times New Roman" w:hAnsi="Times New Roman" w:cs="Times New Roman"/>
          <w:bCs/>
          <w:sz w:val="24"/>
          <w:szCs w:val="24"/>
          <w:lang w:eastAsia="uk-UA"/>
        </w:rPr>
        <w:t xml:space="preserve"> носії інформації), режим доступу до них, можливий вплив на них елементів середовища користувачів, фізичного середовища з точки зору збереження властивостей інформаційних </w:t>
      </w:r>
      <w:r w:rsidRPr="004E60A2">
        <w:rPr>
          <w:rFonts w:ascii="Times New Roman" w:hAnsi="Times New Roman" w:cs="Times New Roman"/>
          <w:sz w:val="24"/>
          <w:szCs w:val="24"/>
          <w:lang w:eastAsia="uk-UA"/>
        </w:rPr>
        <w:t>активів (конфіденційність, цілісність, доступність)</w:t>
      </w:r>
      <w:r w:rsidRPr="004E60A2">
        <w:rPr>
          <w:rFonts w:ascii="Times New Roman" w:hAnsi="Times New Roman" w:cs="Times New Roman"/>
          <w:bCs/>
          <w:sz w:val="24"/>
          <w:szCs w:val="24"/>
          <w:lang w:eastAsia="uk-UA"/>
        </w:rPr>
        <w:t>;</w:t>
      </w:r>
    </w:p>
    <w:p w14:paraId="10A1C09C"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б)  Аналіз реєстру активів Замовника, інвентаризаційних відомостей з визначеними Власниками активів, аналіз схеми класифікації інформації стосовно PII. </w:t>
      </w:r>
      <w:r w:rsidRPr="004E60A2">
        <w:rPr>
          <w:rFonts w:ascii="Times New Roman" w:hAnsi="Times New Roman" w:cs="Times New Roman"/>
          <w:bCs/>
          <w:sz w:val="24"/>
          <w:szCs w:val="24"/>
          <w:lang w:eastAsia="uk-UA"/>
        </w:rPr>
        <w:t>Виявлення суттєвих компонентів ІКС та бізнес-процесів, які вимагають підвищених вимог до захисту активів та впровадження додаткових заходів захисту</w:t>
      </w:r>
      <w:r w:rsidRPr="004E60A2">
        <w:rPr>
          <w:rFonts w:ascii="Times New Roman" w:hAnsi="Times New Roman" w:cs="Times New Roman"/>
          <w:sz w:val="24"/>
          <w:szCs w:val="24"/>
          <w:lang w:eastAsia="uk-UA"/>
        </w:rPr>
        <w:t xml:space="preserve"> PII</w:t>
      </w:r>
      <w:r w:rsidRPr="004E60A2">
        <w:rPr>
          <w:rFonts w:ascii="Times New Roman" w:hAnsi="Times New Roman" w:cs="Times New Roman"/>
          <w:bCs/>
          <w:sz w:val="24"/>
          <w:szCs w:val="24"/>
          <w:lang w:eastAsia="uk-UA"/>
        </w:rPr>
        <w:t xml:space="preserve"> на протязі життєвого циклу PIMS (</w:t>
      </w:r>
      <w:r w:rsidRPr="004E60A2">
        <w:rPr>
          <w:rFonts w:ascii="Times New Roman" w:hAnsi="Times New Roman" w:cs="Times New Roman"/>
          <w:sz w:val="24"/>
          <w:szCs w:val="24"/>
          <w:lang w:eastAsia="uk-UA"/>
        </w:rPr>
        <w:t>створення, впровадження, підтримка та постійне вдосконалення);</w:t>
      </w:r>
    </w:p>
    <w:p w14:paraId="2866EA2E"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в)  Консалтинг з проведення заходів управління ризиками PII та розробка методології </w:t>
      </w:r>
      <w:r w:rsidRPr="004E60A2">
        <w:rPr>
          <w:rFonts w:ascii="Times New Roman" w:hAnsi="Times New Roman" w:cs="Times New Roman"/>
          <w:bCs/>
          <w:sz w:val="24"/>
          <w:szCs w:val="24"/>
          <w:lang w:eastAsia="uk-UA"/>
        </w:rPr>
        <w:t>оцінки впливу на захист даних (надалі – DPIA)</w:t>
      </w:r>
      <w:r w:rsidRPr="004E60A2">
        <w:rPr>
          <w:rFonts w:ascii="Times New Roman" w:hAnsi="Times New Roman" w:cs="Times New Roman"/>
          <w:sz w:val="24"/>
          <w:szCs w:val="24"/>
          <w:lang w:eastAsia="uk-UA"/>
        </w:rPr>
        <w:t>, що виникає в результаті обробки ідентифікаційної інформації, визначення основних принципів та підходів з оцінки і обробки ризиків PII;</w:t>
      </w:r>
    </w:p>
    <w:p w14:paraId="0F32A175"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sz w:val="24"/>
          <w:szCs w:val="24"/>
          <w:lang w:eastAsia="uk-UA"/>
        </w:rPr>
        <w:t>г)  Консалтинг з впровадження заходів захисту персональних даних та постійного поліпшення ефективності PIMS</w:t>
      </w:r>
      <w:r w:rsidRPr="004E60A2">
        <w:rPr>
          <w:rFonts w:ascii="Times New Roman" w:hAnsi="Times New Roman" w:cs="Times New Roman"/>
          <w:bCs/>
          <w:sz w:val="24"/>
          <w:szCs w:val="24"/>
          <w:lang w:eastAsia="uk-UA"/>
        </w:rPr>
        <w:t xml:space="preserve"> із застосуванням ризик-орієнтованого підходу </w:t>
      </w:r>
      <w:r w:rsidRPr="004E60A2">
        <w:rPr>
          <w:rFonts w:ascii="Times New Roman" w:hAnsi="Times New Roman" w:cs="Times New Roman"/>
          <w:sz w:val="24"/>
          <w:szCs w:val="24"/>
          <w:lang w:eastAsia="uk-UA"/>
        </w:rPr>
        <w:t xml:space="preserve">відповідно до вимог ДСТУ ISO/IEC 27701 у </w:t>
      </w:r>
      <w:r w:rsidRPr="004E60A2">
        <w:rPr>
          <w:rFonts w:ascii="Times New Roman" w:hAnsi="Times New Roman" w:cs="Times New Roman"/>
          <w:bCs/>
          <w:sz w:val="24"/>
          <w:szCs w:val="24"/>
          <w:lang w:eastAsia="uk-UA"/>
        </w:rPr>
        <w:t xml:space="preserve">межах області дії </w:t>
      </w:r>
      <w:r w:rsidRPr="004E60A2">
        <w:rPr>
          <w:rFonts w:ascii="Times New Roman" w:hAnsi="Times New Roman" w:cs="Times New Roman"/>
          <w:sz w:val="24"/>
          <w:szCs w:val="24"/>
          <w:lang w:eastAsia="uk-UA"/>
        </w:rPr>
        <w:t>СУІБ/PIMS та розробка комплекту проєктних документів СУІБ.</w:t>
      </w:r>
    </w:p>
    <w:p w14:paraId="2468C891" w14:textId="77777777" w:rsidR="004E60A2" w:rsidRPr="004E60A2" w:rsidRDefault="004E60A2" w:rsidP="004E60A2">
      <w:pPr>
        <w:spacing w:after="0" w:line="240" w:lineRule="auto"/>
        <w:jc w:val="both"/>
        <w:rPr>
          <w:rFonts w:ascii="Times New Roman" w:hAnsi="Times New Roman" w:cs="Times New Roman"/>
          <w:i/>
          <w:sz w:val="24"/>
          <w:szCs w:val="24"/>
          <w:lang w:eastAsia="uk-UA"/>
        </w:rPr>
      </w:pPr>
      <w:r w:rsidRPr="004E60A2">
        <w:rPr>
          <w:rFonts w:ascii="Times New Roman" w:hAnsi="Times New Roman" w:cs="Times New Roman"/>
          <w:b/>
          <w:bCs/>
          <w:sz w:val="24"/>
          <w:szCs w:val="24"/>
          <w:lang w:eastAsia="uk-UA"/>
        </w:rPr>
        <w:t xml:space="preserve">Результат виконання Етапу 3: </w:t>
      </w:r>
      <w:r w:rsidRPr="004E60A2">
        <w:rPr>
          <w:rFonts w:ascii="Times New Roman" w:hAnsi="Times New Roman" w:cs="Times New Roman"/>
          <w:sz w:val="24"/>
          <w:szCs w:val="24"/>
          <w:lang w:eastAsia="uk-UA"/>
        </w:rPr>
        <w:t>комплект проєктних документів, згідно переліку</w:t>
      </w:r>
    </w:p>
    <w:tbl>
      <w:tblPr>
        <w:tblStyle w:val="26"/>
        <w:tblpPr w:leftFromText="180" w:rightFromText="180" w:vertAnchor="text" w:horzAnchor="margin" w:tblpXSpec="right" w:tblpY="124"/>
        <w:tblW w:w="0" w:type="auto"/>
        <w:tblLook w:val="01E0" w:firstRow="1" w:lastRow="1" w:firstColumn="1" w:lastColumn="1" w:noHBand="0" w:noVBand="0"/>
      </w:tblPr>
      <w:tblGrid>
        <w:gridCol w:w="9627"/>
      </w:tblGrid>
      <w:tr w:rsidR="004E60A2" w:rsidRPr="004E60A2" w14:paraId="401A2235" w14:textId="77777777" w:rsidTr="0099075F">
        <w:trPr>
          <w:trHeight w:val="506"/>
        </w:trPr>
        <w:tc>
          <w:tcPr>
            <w:tcW w:w="0" w:type="auto"/>
          </w:tcPr>
          <w:p w14:paraId="62E32BF4" w14:textId="77777777" w:rsidR="004E60A2" w:rsidRPr="004E60A2" w:rsidRDefault="004E60A2" w:rsidP="004E60A2">
            <w:pPr>
              <w:rPr>
                <w:rFonts w:ascii="Times New Roman" w:hAnsi="Times New Roman" w:cs="Times New Roman"/>
                <w:b/>
                <w:sz w:val="24"/>
                <w:szCs w:val="24"/>
                <w:lang w:eastAsia="uk-UA"/>
              </w:rPr>
            </w:pPr>
            <w:r w:rsidRPr="004E60A2">
              <w:rPr>
                <w:rFonts w:ascii="Times New Roman" w:hAnsi="Times New Roman" w:cs="Times New Roman"/>
                <w:b/>
                <w:sz w:val="24"/>
                <w:szCs w:val="24"/>
                <w:lang w:eastAsia="uk-UA"/>
              </w:rPr>
              <w:t>Перелік проєктних документів, що становлять собою результат виконання 3 етапу</w:t>
            </w:r>
          </w:p>
        </w:tc>
      </w:tr>
      <w:tr w:rsidR="004E60A2" w:rsidRPr="004E60A2" w14:paraId="03CF4D5F" w14:textId="77777777" w:rsidTr="0099075F">
        <w:trPr>
          <w:trHeight w:val="470"/>
        </w:trPr>
        <w:tc>
          <w:tcPr>
            <w:tcW w:w="0" w:type="auto"/>
            <w:hideMark/>
          </w:tcPr>
          <w:p w14:paraId="459F1AAE"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 Готовність Системи до ДСТУ ISO/IEC 27701  (зразок-опитувальник)</w:t>
            </w:r>
          </w:p>
        </w:tc>
      </w:tr>
      <w:tr w:rsidR="004E60A2" w:rsidRPr="004E60A2" w14:paraId="6F9C28E2" w14:textId="77777777" w:rsidTr="0099075F">
        <w:trPr>
          <w:trHeight w:val="506"/>
        </w:trPr>
        <w:tc>
          <w:tcPr>
            <w:tcW w:w="0" w:type="auto"/>
            <w:hideMark/>
          </w:tcPr>
          <w:p w14:paraId="42D7E5EA"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2. Політика  захисту персональних даних</w:t>
            </w:r>
          </w:p>
        </w:tc>
      </w:tr>
      <w:tr w:rsidR="004E60A2" w:rsidRPr="004E60A2" w14:paraId="2FB8983B" w14:textId="77777777" w:rsidTr="0099075F">
        <w:trPr>
          <w:trHeight w:val="506"/>
        </w:trPr>
        <w:tc>
          <w:tcPr>
            <w:tcW w:w="0" w:type="auto"/>
            <w:hideMark/>
          </w:tcPr>
          <w:p w14:paraId="54D94F00"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3. Політика  захисту персональних даних працівників</w:t>
            </w:r>
          </w:p>
        </w:tc>
      </w:tr>
      <w:tr w:rsidR="004E60A2" w:rsidRPr="004E60A2" w14:paraId="4EEDBC10" w14:textId="77777777" w:rsidTr="0099075F">
        <w:trPr>
          <w:trHeight w:val="506"/>
        </w:trPr>
        <w:tc>
          <w:tcPr>
            <w:tcW w:w="0" w:type="auto"/>
            <w:hideMark/>
          </w:tcPr>
          <w:p w14:paraId="57B4D21E"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4. Політика  збереження персональних даних</w:t>
            </w:r>
          </w:p>
        </w:tc>
      </w:tr>
      <w:tr w:rsidR="004E60A2" w:rsidRPr="004E60A2" w14:paraId="7489AB4F" w14:textId="77777777" w:rsidTr="0099075F">
        <w:trPr>
          <w:trHeight w:val="506"/>
        </w:trPr>
        <w:tc>
          <w:tcPr>
            <w:tcW w:w="0" w:type="auto"/>
          </w:tcPr>
          <w:p w14:paraId="1154929F"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5. Кодекс поведінки</w:t>
            </w:r>
          </w:p>
        </w:tc>
      </w:tr>
      <w:tr w:rsidR="004E60A2" w:rsidRPr="004E60A2" w14:paraId="5B4C90DE" w14:textId="77777777" w:rsidTr="0099075F">
        <w:trPr>
          <w:trHeight w:val="506"/>
        </w:trPr>
        <w:tc>
          <w:tcPr>
            <w:tcW w:w="0" w:type="auto"/>
          </w:tcPr>
          <w:p w14:paraId="607DF5D3"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6. Політика </w:t>
            </w:r>
            <w:proofErr w:type="spellStart"/>
            <w:r w:rsidRPr="004E60A2">
              <w:rPr>
                <w:rFonts w:ascii="Times New Roman" w:hAnsi="Times New Roman" w:cs="Times New Roman"/>
                <w:sz w:val="24"/>
                <w:szCs w:val="24"/>
                <w:lang w:eastAsia="uk-UA"/>
              </w:rPr>
              <w:t>анонімізації</w:t>
            </w:r>
            <w:proofErr w:type="spellEnd"/>
            <w:r w:rsidRPr="004E60A2">
              <w:rPr>
                <w:rFonts w:ascii="Times New Roman" w:hAnsi="Times New Roman" w:cs="Times New Roman"/>
                <w:sz w:val="24"/>
                <w:szCs w:val="24"/>
                <w:lang w:eastAsia="uk-UA"/>
              </w:rPr>
              <w:t xml:space="preserve"> та </w:t>
            </w:r>
            <w:proofErr w:type="spellStart"/>
            <w:r w:rsidRPr="004E60A2">
              <w:rPr>
                <w:rFonts w:ascii="Times New Roman" w:hAnsi="Times New Roman" w:cs="Times New Roman"/>
                <w:sz w:val="24"/>
                <w:szCs w:val="24"/>
                <w:lang w:eastAsia="uk-UA"/>
              </w:rPr>
              <w:t>псевдонімізації</w:t>
            </w:r>
            <w:proofErr w:type="spellEnd"/>
          </w:p>
        </w:tc>
      </w:tr>
      <w:tr w:rsidR="004E60A2" w:rsidRPr="004E60A2" w14:paraId="7B6504B0" w14:textId="77777777" w:rsidTr="0099075F">
        <w:trPr>
          <w:trHeight w:val="506"/>
        </w:trPr>
        <w:tc>
          <w:tcPr>
            <w:tcW w:w="0" w:type="auto"/>
            <w:hideMark/>
          </w:tcPr>
          <w:p w14:paraId="235E8019"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7. Повідомлення про обробку персональних даних</w:t>
            </w:r>
          </w:p>
        </w:tc>
      </w:tr>
      <w:tr w:rsidR="004E60A2" w:rsidRPr="004E60A2" w14:paraId="416BABB1" w14:textId="77777777" w:rsidTr="0099075F">
        <w:trPr>
          <w:trHeight w:val="506"/>
        </w:trPr>
        <w:tc>
          <w:tcPr>
            <w:tcW w:w="0" w:type="auto"/>
          </w:tcPr>
          <w:p w14:paraId="6D71CA52"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8. Повідомлення про обробку персональних даних працівників</w:t>
            </w:r>
          </w:p>
        </w:tc>
      </w:tr>
      <w:tr w:rsidR="004E60A2" w:rsidRPr="004E60A2" w14:paraId="40C4559D" w14:textId="77777777" w:rsidTr="0099075F">
        <w:trPr>
          <w:trHeight w:val="506"/>
        </w:trPr>
        <w:tc>
          <w:tcPr>
            <w:tcW w:w="0" w:type="auto"/>
          </w:tcPr>
          <w:p w14:paraId="5AA68189"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9. Повідомлення про обробку персональних даних працівників постачальників</w:t>
            </w:r>
          </w:p>
        </w:tc>
      </w:tr>
      <w:tr w:rsidR="004E60A2" w:rsidRPr="004E60A2" w14:paraId="12F7DDCB" w14:textId="77777777" w:rsidTr="0099075F">
        <w:trPr>
          <w:trHeight w:val="506"/>
        </w:trPr>
        <w:tc>
          <w:tcPr>
            <w:tcW w:w="0" w:type="auto"/>
            <w:hideMark/>
          </w:tcPr>
          <w:p w14:paraId="471530A4"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10. Реєстр повідомлень про обробку персональних даних</w:t>
            </w:r>
          </w:p>
        </w:tc>
      </w:tr>
      <w:tr w:rsidR="004E60A2" w:rsidRPr="004E60A2" w14:paraId="2A1E7657" w14:textId="77777777" w:rsidTr="0099075F">
        <w:trPr>
          <w:trHeight w:val="416"/>
        </w:trPr>
        <w:tc>
          <w:tcPr>
            <w:tcW w:w="0" w:type="auto"/>
            <w:hideMark/>
          </w:tcPr>
          <w:p w14:paraId="4A0482E5"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11. Повноваження та обов’язки відповідальної особи з питань захисту персональних даних </w:t>
            </w:r>
          </w:p>
        </w:tc>
      </w:tr>
      <w:tr w:rsidR="004E60A2" w:rsidRPr="004E60A2" w14:paraId="62CA54E5" w14:textId="77777777" w:rsidTr="0099075F">
        <w:trPr>
          <w:trHeight w:val="506"/>
        </w:trPr>
        <w:tc>
          <w:tcPr>
            <w:tcW w:w="0" w:type="auto"/>
          </w:tcPr>
          <w:p w14:paraId="6DAEB7B4"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12. Лист про призначення  відповідальної особи з питань захисту персональних даних (зразок  та приклад заповнення)</w:t>
            </w:r>
          </w:p>
        </w:tc>
      </w:tr>
      <w:tr w:rsidR="004E60A2" w:rsidRPr="004E60A2" w14:paraId="1DED5878" w14:textId="77777777" w:rsidTr="0099075F">
        <w:trPr>
          <w:trHeight w:val="499"/>
        </w:trPr>
        <w:tc>
          <w:tcPr>
            <w:tcW w:w="0" w:type="auto"/>
            <w:hideMark/>
          </w:tcPr>
          <w:p w14:paraId="0727D399"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13. Умови призначення відповідальної особи з питань  захисту  персональних даних</w:t>
            </w:r>
          </w:p>
        </w:tc>
      </w:tr>
      <w:tr w:rsidR="004E60A2" w:rsidRPr="004E60A2" w14:paraId="67C2C9B4" w14:textId="77777777" w:rsidTr="0099075F">
        <w:trPr>
          <w:trHeight w:val="506"/>
        </w:trPr>
        <w:tc>
          <w:tcPr>
            <w:tcW w:w="0" w:type="auto"/>
            <w:hideMark/>
          </w:tcPr>
          <w:p w14:paraId="3567BCCD"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lastRenderedPageBreak/>
              <w:t>14. Методологія оцінки впливу на захист персональних даних</w:t>
            </w:r>
          </w:p>
        </w:tc>
      </w:tr>
      <w:tr w:rsidR="004E60A2" w:rsidRPr="004E60A2" w14:paraId="240269C2" w14:textId="77777777" w:rsidTr="0099075F">
        <w:trPr>
          <w:trHeight w:val="506"/>
        </w:trPr>
        <w:tc>
          <w:tcPr>
            <w:tcW w:w="0" w:type="auto"/>
            <w:hideMark/>
          </w:tcPr>
          <w:p w14:paraId="36C0F84D"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15. Реєстр оцінки впливу на захист  персональних даних (зразок  та приклад заповнення)</w:t>
            </w:r>
          </w:p>
        </w:tc>
      </w:tr>
      <w:tr w:rsidR="004E60A2" w:rsidRPr="004E60A2" w14:paraId="1116A38A" w14:textId="77777777" w:rsidTr="0099075F">
        <w:trPr>
          <w:trHeight w:val="479"/>
        </w:trPr>
        <w:tc>
          <w:tcPr>
            <w:tcW w:w="0" w:type="auto"/>
          </w:tcPr>
          <w:p w14:paraId="0B9FEB68"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16. Форма згоди суб’єкта персональних даних</w:t>
            </w:r>
          </w:p>
        </w:tc>
      </w:tr>
      <w:tr w:rsidR="004E60A2" w:rsidRPr="004E60A2" w14:paraId="2AC15395" w14:textId="77777777" w:rsidTr="0099075F">
        <w:trPr>
          <w:trHeight w:val="506"/>
        </w:trPr>
        <w:tc>
          <w:tcPr>
            <w:tcW w:w="0" w:type="auto"/>
            <w:hideMark/>
          </w:tcPr>
          <w:p w14:paraId="2C8CA5CC"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17. Відкликання згоди суб'єкта персональних даних</w:t>
            </w:r>
          </w:p>
        </w:tc>
      </w:tr>
      <w:tr w:rsidR="004E60A2" w:rsidRPr="004E60A2" w14:paraId="69313A55" w14:textId="77777777" w:rsidTr="0099075F">
        <w:trPr>
          <w:trHeight w:val="561"/>
        </w:trPr>
        <w:tc>
          <w:tcPr>
            <w:tcW w:w="0" w:type="auto"/>
            <w:hideMark/>
          </w:tcPr>
          <w:p w14:paraId="55B0581D"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18. Процедура запиту доступу суб'єкта персональних даних (DSAR) із додатком (Блок-схема запиту доступу суб’єкта персональних даних)</w:t>
            </w:r>
          </w:p>
        </w:tc>
      </w:tr>
      <w:tr w:rsidR="004E60A2" w:rsidRPr="004E60A2" w14:paraId="77EDCCF5" w14:textId="77777777" w:rsidTr="0099075F">
        <w:trPr>
          <w:trHeight w:val="478"/>
        </w:trPr>
        <w:tc>
          <w:tcPr>
            <w:tcW w:w="0" w:type="auto"/>
            <w:hideMark/>
          </w:tcPr>
          <w:p w14:paraId="2097BB01"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19. Форма розкриття  персональних даних суб'єкта персональних даних (DSAR)</w:t>
            </w:r>
          </w:p>
        </w:tc>
      </w:tr>
      <w:tr w:rsidR="004E60A2" w:rsidRPr="004E60A2" w14:paraId="4957B8BE" w14:textId="77777777" w:rsidTr="0099075F">
        <w:trPr>
          <w:trHeight w:val="506"/>
        </w:trPr>
        <w:tc>
          <w:tcPr>
            <w:tcW w:w="0" w:type="auto"/>
            <w:hideMark/>
          </w:tcPr>
          <w:p w14:paraId="78DCCAA9"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20. Запит на підтвердження повноважень</w:t>
            </w:r>
          </w:p>
        </w:tc>
      </w:tr>
      <w:tr w:rsidR="004E60A2" w:rsidRPr="004E60A2" w14:paraId="3E7B5648" w14:textId="77777777" w:rsidTr="0099075F">
        <w:trPr>
          <w:trHeight w:val="506"/>
        </w:trPr>
        <w:tc>
          <w:tcPr>
            <w:tcW w:w="0" w:type="auto"/>
          </w:tcPr>
          <w:p w14:paraId="45573AE6"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21. Форма запиту на доступ суб’єкта даних (DSAR)</w:t>
            </w:r>
          </w:p>
        </w:tc>
      </w:tr>
      <w:tr w:rsidR="004E60A2" w:rsidRPr="004E60A2" w14:paraId="3C4FC54F" w14:textId="77777777" w:rsidTr="0099075F">
        <w:trPr>
          <w:trHeight w:val="506"/>
        </w:trPr>
        <w:tc>
          <w:tcPr>
            <w:tcW w:w="0" w:type="auto"/>
          </w:tcPr>
          <w:p w14:paraId="1CA9E1FF"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22. Підтвердження запиту на доступ суб’єкта персональних даних</w:t>
            </w:r>
          </w:p>
        </w:tc>
      </w:tr>
      <w:tr w:rsidR="004E60A2" w:rsidRPr="004E60A2" w14:paraId="573ADD94" w14:textId="77777777" w:rsidTr="0099075F">
        <w:trPr>
          <w:trHeight w:val="506"/>
        </w:trPr>
        <w:tc>
          <w:tcPr>
            <w:tcW w:w="0" w:type="auto"/>
          </w:tcPr>
          <w:p w14:paraId="5B514116"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23. Відхилення необґрунтованого/надмірного запиту</w:t>
            </w:r>
          </w:p>
        </w:tc>
      </w:tr>
      <w:tr w:rsidR="004E60A2" w:rsidRPr="004E60A2" w14:paraId="02EB7215" w14:textId="77777777" w:rsidTr="0099075F">
        <w:trPr>
          <w:trHeight w:val="506"/>
        </w:trPr>
        <w:tc>
          <w:tcPr>
            <w:tcW w:w="0" w:type="auto"/>
            <w:hideMark/>
          </w:tcPr>
          <w:p w14:paraId="085368E3"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24. Підтвердження для закриття  запиту на доступ до персональних даних суб'єкта персональних даних (DSAR)</w:t>
            </w:r>
          </w:p>
        </w:tc>
      </w:tr>
      <w:tr w:rsidR="004E60A2" w:rsidRPr="004E60A2" w14:paraId="771D6853" w14:textId="77777777" w:rsidTr="0099075F">
        <w:trPr>
          <w:trHeight w:val="506"/>
        </w:trPr>
        <w:tc>
          <w:tcPr>
            <w:tcW w:w="0" w:type="auto"/>
            <w:hideMark/>
          </w:tcPr>
          <w:p w14:paraId="1D844A26"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25. Відповідь на запит доступу суб'єкта персональних даних (DSAR)</w:t>
            </w:r>
          </w:p>
        </w:tc>
      </w:tr>
      <w:tr w:rsidR="004E60A2" w:rsidRPr="004E60A2" w14:paraId="0AE88EA3" w14:textId="77777777" w:rsidTr="0099075F">
        <w:trPr>
          <w:trHeight w:val="506"/>
        </w:trPr>
        <w:tc>
          <w:tcPr>
            <w:tcW w:w="0" w:type="auto"/>
          </w:tcPr>
          <w:p w14:paraId="3E3824CC"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26. Супровідний лист до відповіді на запит щодо портативності персональних даних</w:t>
            </w:r>
          </w:p>
        </w:tc>
      </w:tr>
      <w:tr w:rsidR="004E60A2" w:rsidRPr="004E60A2" w14:paraId="300D7C3D" w14:textId="77777777" w:rsidTr="0099075F">
        <w:trPr>
          <w:trHeight w:val="506"/>
        </w:trPr>
        <w:tc>
          <w:tcPr>
            <w:tcW w:w="0" w:type="auto"/>
            <w:hideMark/>
          </w:tcPr>
          <w:p w14:paraId="16B4C59B"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27. Відповідь на запит щодо виправлення персональних даних</w:t>
            </w:r>
          </w:p>
        </w:tc>
      </w:tr>
      <w:tr w:rsidR="004E60A2" w:rsidRPr="004E60A2" w14:paraId="66A46D68" w14:textId="77777777" w:rsidTr="0099075F">
        <w:trPr>
          <w:trHeight w:val="506"/>
        </w:trPr>
        <w:tc>
          <w:tcPr>
            <w:tcW w:w="0" w:type="auto"/>
            <w:hideMark/>
          </w:tcPr>
          <w:p w14:paraId="1063FB17" w14:textId="77777777" w:rsidR="004E60A2" w:rsidRPr="004E60A2" w:rsidRDefault="004E60A2" w:rsidP="004E60A2">
            <w:pPr>
              <w:rPr>
                <w:rFonts w:ascii="Times New Roman" w:hAnsi="Times New Roman" w:cs="Times New Roman"/>
                <w:sz w:val="24"/>
                <w:szCs w:val="24"/>
                <w:lang w:val="x-none" w:eastAsia="uk-UA"/>
              </w:rPr>
            </w:pPr>
            <w:r w:rsidRPr="004E60A2">
              <w:rPr>
                <w:rFonts w:ascii="Times New Roman" w:hAnsi="Times New Roman" w:cs="Times New Roman"/>
                <w:sz w:val="24"/>
                <w:szCs w:val="24"/>
                <w:lang w:eastAsia="uk-UA"/>
              </w:rPr>
              <w:t xml:space="preserve">28. </w:t>
            </w:r>
            <w:r w:rsidRPr="004E60A2">
              <w:rPr>
                <w:rFonts w:ascii="Times New Roman" w:hAnsi="Times New Roman" w:cs="Times New Roman"/>
                <w:sz w:val="24"/>
                <w:szCs w:val="24"/>
                <w:lang w:val="x-none" w:eastAsia="uk-UA"/>
              </w:rPr>
              <w:t>Відповідь на запит про відкликання згоди / обмеження обробки персональних даних (відхилення запиту)</w:t>
            </w:r>
          </w:p>
        </w:tc>
      </w:tr>
      <w:tr w:rsidR="004E60A2" w:rsidRPr="004E60A2" w14:paraId="7D9F153F" w14:textId="77777777" w:rsidTr="0099075F">
        <w:trPr>
          <w:trHeight w:val="506"/>
        </w:trPr>
        <w:tc>
          <w:tcPr>
            <w:tcW w:w="0" w:type="auto"/>
            <w:hideMark/>
          </w:tcPr>
          <w:p w14:paraId="4D0616A2" w14:textId="77777777" w:rsidR="004E60A2" w:rsidRPr="004E60A2" w:rsidRDefault="004E60A2" w:rsidP="004E60A2">
            <w:pPr>
              <w:rPr>
                <w:rFonts w:ascii="Times New Roman" w:hAnsi="Times New Roman" w:cs="Times New Roman"/>
                <w:sz w:val="24"/>
                <w:szCs w:val="24"/>
                <w:lang w:val="x-none" w:eastAsia="uk-UA"/>
              </w:rPr>
            </w:pPr>
            <w:r w:rsidRPr="004E60A2">
              <w:rPr>
                <w:rFonts w:ascii="Times New Roman" w:hAnsi="Times New Roman" w:cs="Times New Roman"/>
                <w:sz w:val="24"/>
                <w:szCs w:val="24"/>
                <w:lang w:eastAsia="uk-UA"/>
              </w:rPr>
              <w:t xml:space="preserve">29. </w:t>
            </w:r>
            <w:r w:rsidRPr="004E60A2">
              <w:rPr>
                <w:rFonts w:ascii="Times New Roman" w:hAnsi="Times New Roman" w:cs="Times New Roman"/>
                <w:sz w:val="24"/>
                <w:szCs w:val="24"/>
                <w:lang w:val="x-none" w:eastAsia="uk-UA"/>
              </w:rPr>
              <w:t>Відповідь на запит про відкликання згоди / обмеження обробки персональних даних (запит прийнято)</w:t>
            </w:r>
          </w:p>
        </w:tc>
      </w:tr>
      <w:tr w:rsidR="004E60A2" w:rsidRPr="004E60A2" w14:paraId="05D334A0" w14:textId="77777777" w:rsidTr="0099075F">
        <w:trPr>
          <w:trHeight w:val="506"/>
        </w:trPr>
        <w:tc>
          <w:tcPr>
            <w:tcW w:w="0" w:type="auto"/>
            <w:hideMark/>
          </w:tcPr>
          <w:p w14:paraId="5AFF0E44" w14:textId="77777777" w:rsidR="004E60A2" w:rsidRPr="004E60A2" w:rsidRDefault="004E60A2" w:rsidP="004E60A2">
            <w:pPr>
              <w:rPr>
                <w:rFonts w:ascii="Times New Roman" w:hAnsi="Times New Roman" w:cs="Times New Roman"/>
                <w:sz w:val="24"/>
                <w:szCs w:val="24"/>
                <w:lang w:val="x-none" w:eastAsia="uk-UA"/>
              </w:rPr>
            </w:pPr>
            <w:r w:rsidRPr="004E60A2">
              <w:rPr>
                <w:rFonts w:ascii="Times New Roman" w:hAnsi="Times New Roman" w:cs="Times New Roman"/>
                <w:sz w:val="24"/>
                <w:szCs w:val="24"/>
                <w:lang w:eastAsia="uk-UA"/>
              </w:rPr>
              <w:t xml:space="preserve">30. </w:t>
            </w:r>
            <w:r w:rsidRPr="004E60A2">
              <w:rPr>
                <w:rFonts w:ascii="Times New Roman" w:hAnsi="Times New Roman" w:cs="Times New Roman"/>
                <w:sz w:val="24"/>
                <w:szCs w:val="24"/>
                <w:lang w:val="x-none" w:eastAsia="uk-UA"/>
              </w:rPr>
              <w:t xml:space="preserve">Відповідь на запит/скаргу Суб’єкта персональних даних щодо обмеження обробки персональних даних (запит </w:t>
            </w:r>
            <w:proofErr w:type="spellStart"/>
            <w:r w:rsidRPr="004E60A2">
              <w:rPr>
                <w:rFonts w:ascii="Times New Roman" w:hAnsi="Times New Roman" w:cs="Times New Roman"/>
                <w:sz w:val="24"/>
                <w:szCs w:val="24"/>
                <w:lang w:val="x-none" w:eastAsia="uk-UA"/>
              </w:rPr>
              <w:t>відхилено</w:t>
            </w:r>
            <w:proofErr w:type="spellEnd"/>
            <w:r w:rsidRPr="004E60A2">
              <w:rPr>
                <w:rFonts w:ascii="Times New Roman" w:hAnsi="Times New Roman" w:cs="Times New Roman"/>
                <w:sz w:val="24"/>
                <w:szCs w:val="24"/>
                <w:lang w:val="x-none" w:eastAsia="uk-UA"/>
              </w:rPr>
              <w:t>)</w:t>
            </w:r>
          </w:p>
        </w:tc>
      </w:tr>
      <w:tr w:rsidR="004E60A2" w:rsidRPr="004E60A2" w14:paraId="380B93B6" w14:textId="77777777" w:rsidTr="0099075F">
        <w:trPr>
          <w:trHeight w:val="506"/>
        </w:trPr>
        <w:tc>
          <w:tcPr>
            <w:tcW w:w="0" w:type="auto"/>
            <w:hideMark/>
          </w:tcPr>
          <w:p w14:paraId="1296A383" w14:textId="77777777" w:rsidR="004E60A2" w:rsidRPr="004E60A2" w:rsidRDefault="004E60A2" w:rsidP="004E60A2">
            <w:pPr>
              <w:rPr>
                <w:rFonts w:ascii="Times New Roman" w:hAnsi="Times New Roman" w:cs="Times New Roman"/>
                <w:sz w:val="24"/>
                <w:szCs w:val="24"/>
                <w:lang w:val="x-none" w:eastAsia="uk-UA"/>
              </w:rPr>
            </w:pPr>
            <w:r w:rsidRPr="004E60A2">
              <w:rPr>
                <w:rFonts w:ascii="Times New Roman" w:hAnsi="Times New Roman" w:cs="Times New Roman"/>
                <w:sz w:val="24"/>
                <w:szCs w:val="24"/>
                <w:lang w:eastAsia="uk-UA"/>
              </w:rPr>
              <w:t xml:space="preserve">31. </w:t>
            </w:r>
            <w:r w:rsidRPr="004E60A2">
              <w:rPr>
                <w:rFonts w:ascii="Times New Roman" w:hAnsi="Times New Roman" w:cs="Times New Roman"/>
                <w:sz w:val="24"/>
                <w:szCs w:val="24"/>
                <w:lang w:val="x-none" w:eastAsia="uk-UA"/>
              </w:rPr>
              <w:t xml:space="preserve">Відповідь на запит/скаргу Суб’єкта персональних даних щодо обмеження обробки персональних даних (запит прийнято) </w:t>
            </w:r>
          </w:p>
        </w:tc>
      </w:tr>
      <w:tr w:rsidR="004E60A2" w:rsidRPr="004E60A2" w14:paraId="230B4412" w14:textId="77777777" w:rsidTr="0099075F">
        <w:trPr>
          <w:trHeight w:val="506"/>
        </w:trPr>
        <w:tc>
          <w:tcPr>
            <w:tcW w:w="0" w:type="auto"/>
          </w:tcPr>
          <w:p w14:paraId="2F2E6CA8" w14:textId="77777777" w:rsidR="004E60A2" w:rsidRPr="004E60A2" w:rsidRDefault="004E60A2" w:rsidP="004E60A2">
            <w:pPr>
              <w:rPr>
                <w:rFonts w:ascii="Times New Roman" w:hAnsi="Times New Roman" w:cs="Times New Roman"/>
                <w:sz w:val="24"/>
                <w:szCs w:val="24"/>
                <w:lang w:val="x-none" w:eastAsia="uk-UA"/>
              </w:rPr>
            </w:pPr>
            <w:r w:rsidRPr="004E60A2">
              <w:rPr>
                <w:rFonts w:ascii="Times New Roman" w:hAnsi="Times New Roman" w:cs="Times New Roman"/>
                <w:sz w:val="24"/>
                <w:szCs w:val="24"/>
                <w:lang w:eastAsia="uk-UA"/>
              </w:rPr>
              <w:t xml:space="preserve">32. </w:t>
            </w:r>
            <w:r w:rsidRPr="004E60A2">
              <w:rPr>
                <w:rFonts w:ascii="Times New Roman" w:hAnsi="Times New Roman" w:cs="Times New Roman"/>
                <w:sz w:val="24"/>
                <w:szCs w:val="24"/>
                <w:lang w:val="x-none" w:eastAsia="uk-UA"/>
              </w:rPr>
              <w:t>Підтвердження запиту прав суб’єкта даних</w:t>
            </w:r>
          </w:p>
        </w:tc>
      </w:tr>
      <w:tr w:rsidR="004E60A2" w:rsidRPr="004E60A2" w14:paraId="4DD24F37" w14:textId="77777777" w:rsidTr="0099075F">
        <w:trPr>
          <w:trHeight w:val="506"/>
        </w:trPr>
        <w:tc>
          <w:tcPr>
            <w:tcW w:w="0" w:type="auto"/>
            <w:hideMark/>
          </w:tcPr>
          <w:p w14:paraId="023F349E" w14:textId="77777777" w:rsidR="004E60A2" w:rsidRPr="004E60A2" w:rsidRDefault="004E60A2" w:rsidP="004E60A2">
            <w:pPr>
              <w:rPr>
                <w:rFonts w:ascii="Times New Roman" w:hAnsi="Times New Roman" w:cs="Times New Roman"/>
                <w:sz w:val="24"/>
                <w:szCs w:val="24"/>
                <w:lang w:val="x-none" w:eastAsia="uk-UA"/>
              </w:rPr>
            </w:pPr>
            <w:r w:rsidRPr="004E60A2">
              <w:rPr>
                <w:rFonts w:ascii="Times New Roman" w:hAnsi="Times New Roman" w:cs="Times New Roman"/>
                <w:sz w:val="24"/>
                <w:szCs w:val="24"/>
                <w:lang w:eastAsia="uk-UA"/>
              </w:rPr>
              <w:t xml:space="preserve">33. </w:t>
            </w:r>
            <w:r w:rsidRPr="004E60A2">
              <w:rPr>
                <w:rFonts w:ascii="Times New Roman" w:hAnsi="Times New Roman" w:cs="Times New Roman"/>
                <w:sz w:val="24"/>
                <w:szCs w:val="24"/>
                <w:lang w:val="x-none" w:eastAsia="uk-UA"/>
              </w:rPr>
              <w:t>Відповідь на запит щодо автоматизованого прийняття рішень та/або обмеження обробки персональних даних (</w:t>
            </w:r>
            <w:proofErr w:type="spellStart"/>
            <w:r w:rsidRPr="004E60A2">
              <w:rPr>
                <w:rFonts w:ascii="Times New Roman" w:hAnsi="Times New Roman" w:cs="Times New Roman"/>
                <w:sz w:val="24"/>
                <w:szCs w:val="24"/>
                <w:lang w:val="x-none" w:eastAsia="uk-UA"/>
              </w:rPr>
              <w:t>відхилено</w:t>
            </w:r>
            <w:proofErr w:type="spellEnd"/>
            <w:r w:rsidRPr="004E60A2">
              <w:rPr>
                <w:rFonts w:ascii="Times New Roman" w:hAnsi="Times New Roman" w:cs="Times New Roman"/>
                <w:sz w:val="24"/>
                <w:szCs w:val="24"/>
                <w:lang w:val="x-none" w:eastAsia="uk-UA"/>
              </w:rPr>
              <w:t>)</w:t>
            </w:r>
          </w:p>
        </w:tc>
      </w:tr>
      <w:tr w:rsidR="004E60A2" w:rsidRPr="004E60A2" w14:paraId="61DB2CA9" w14:textId="77777777" w:rsidTr="0099075F">
        <w:trPr>
          <w:trHeight w:val="506"/>
        </w:trPr>
        <w:tc>
          <w:tcPr>
            <w:tcW w:w="0" w:type="auto"/>
            <w:hideMark/>
          </w:tcPr>
          <w:p w14:paraId="1835C534" w14:textId="77777777" w:rsidR="004E60A2" w:rsidRPr="004E60A2" w:rsidRDefault="004E60A2" w:rsidP="004E60A2">
            <w:pPr>
              <w:rPr>
                <w:rFonts w:ascii="Times New Roman" w:hAnsi="Times New Roman" w:cs="Times New Roman"/>
                <w:sz w:val="24"/>
                <w:szCs w:val="24"/>
                <w:lang w:val="x-none" w:eastAsia="uk-UA"/>
              </w:rPr>
            </w:pPr>
            <w:r w:rsidRPr="004E60A2">
              <w:rPr>
                <w:rFonts w:ascii="Times New Roman" w:hAnsi="Times New Roman" w:cs="Times New Roman"/>
                <w:sz w:val="24"/>
                <w:szCs w:val="24"/>
                <w:lang w:eastAsia="uk-UA"/>
              </w:rPr>
              <w:t xml:space="preserve">34. </w:t>
            </w:r>
            <w:r w:rsidRPr="004E60A2">
              <w:rPr>
                <w:rFonts w:ascii="Times New Roman" w:hAnsi="Times New Roman" w:cs="Times New Roman"/>
                <w:sz w:val="24"/>
                <w:szCs w:val="24"/>
                <w:lang w:val="x-none" w:eastAsia="uk-UA"/>
              </w:rPr>
              <w:t>Відповідь на запит щодо автоматизованого прийняття рішень та/або обмеження обробки персональних даних (прийнято)</w:t>
            </w:r>
          </w:p>
        </w:tc>
      </w:tr>
      <w:tr w:rsidR="004E60A2" w:rsidRPr="004E60A2" w14:paraId="1FD9BEEE" w14:textId="77777777" w:rsidTr="0099075F">
        <w:trPr>
          <w:trHeight w:val="506"/>
        </w:trPr>
        <w:tc>
          <w:tcPr>
            <w:tcW w:w="0" w:type="auto"/>
            <w:hideMark/>
          </w:tcPr>
          <w:p w14:paraId="304D4841"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 xml:space="preserve">35. Підтвердження виконання запиту на знищення персональних даних </w:t>
            </w:r>
          </w:p>
        </w:tc>
      </w:tr>
      <w:tr w:rsidR="004E60A2" w:rsidRPr="004E60A2" w14:paraId="31C39DB8" w14:textId="77777777" w:rsidTr="0099075F">
        <w:trPr>
          <w:trHeight w:val="506"/>
        </w:trPr>
        <w:tc>
          <w:tcPr>
            <w:tcW w:w="0" w:type="auto"/>
            <w:hideMark/>
          </w:tcPr>
          <w:p w14:paraId="7F7E77B7"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36. Анкета відповідності Процесора PII</w:t>
            </w:r>
          </w:p>
        </w:tc>
      </w:tr>
      <w:tr w:rsidR="004E60A2" w:rsidRPr="004E60A2" w14:paraId="17412490" w14:textId="77777777" w:rsidTr="0099075F">
        <w:trPr>
          <w:trHeight w:val="506"/>
        </w:trPr>
        <w:tc>
          <w:tcPr>
            <w:tcW w:w="0" w:type="auto"/>
            <w:hideMark/>
          </w:tcPr>
          <w:p w14:paraId="38866799"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37. Угода про обробку персональних даних (зразок)</w:t>
            </w:r>
          </w:p>
        </w:tc>
      </w:tr>
      <w:tr w:rsidR="004E60A2" w:rsidRPr="004E60A2" w14:paraId="43F059E6" w14:textId="77777777" w:rsidTr="0099075F">
        <w:trPr>
          <w:trHeight w:val="506"/>
        </w:trPr>
        <w:tc>
          <w:tcPr>
            <w:tcW w:w="0" w:type="auto"/>
            <w:hideMark/>
          </w:tcPr>
          <w:p w14:paraId="392462D5"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38. Угода про обробку даних між Контролером PII/</w:t>
            </w:r>
            <w:proofErr w:type="spellStart"/>
            <w:r w:rsidRPr="004E60A2">
              <w:rPr>
                <w:rFonts w:ascii="Times New Roman" w:hAnsi="Times New Roman" w:cs="Times New Roman"/>
                <w:sz w:val="24"/>
                <w:szCs w:val="24"/>
                <w:lang w:eastAsia="uk-UA"/>
              </w:rPr>
              <w:t>Співконтролером</w:t>
            </w:r>
            <w:proofErr w:type="spellEnd"/>
            <w:r w:rsidRPr="004E60A2">
              <w:rPr>
                <w:rFonts w:ascii="Times New Roman" w:hAnsi="Times New Roman" w:cs="Times New Roman"/>
                <w:sz w:val="24"/>
                <w:szCs w:val="24"/>
                <w:lang w:eastAsia="uk-UA"/>
              </w:rPr>
              <w:t xml:space="preserve">  PII</w:t>
            </w:r>
          </w:p>
        </w:tc>
      </w:tr>
      <w:tr w:rsidR="004E60A2" w:rsidRPr="004E60A2" w14:paraId="311C499B" w14:textId="77777777" w:rsidTr="0099075F">
        <w:trPr>
          <w:trHeight w:val="506"/>
        </w:trPr>
        <w:tc>
          <w:tcPr>
            <w:tcW w:w="0" w:type="auto"/>
            <w:hideMark/>
          </w:tcPr>
          <w:p w14:paraId="76B5A232"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39. Положення про безпеку для Постачальників</w:t>
            </w:r>
          </w:p>
        </w:tc>
      </w:tr>
      <w:tr w:rsidR="004E60A2" w:rsidRPr="004E60A2" w14:paraId="3A4B97F6" w14:textId="77777777" w:rsidTr="0099075F">
        <w:trPr>
          <w:trHeight w:val="506"/>
        </w:trPr>
        <w:tc>
          <w:tcPr>
            <w:tcW w:w="0" w:type="auto"/>
            <w:hideMark/>
          </w:tcPr>
          <w:p w14:paraId="25409973"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40. Положення про режим конфіденційної інформації</w:t>
            </w:r>
          </w:p>
        </w:tc>
      </w:tr>
      <w:tr w:rsidR="004E60A2" w:rsidRPr="004E60A2" w14:paraId="17992A28" w14:textId="77777777" w:rsidTr="0099075F">
        <w:trPr>
          <w:trHeight w:val="506"/>
        </w:trPr>
        <w:tc>
          <w:tcPr>
            <w:tcW w:w="0" w:type="auto"/>
            <w:hideMark/>
          </w:tcPr>
          <w:p w14:paraId="01118147"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41. Транскордонна процедура передачі персональних даних</w:t>
            </w:r>
          </w:p>
        </w:tc>
      </w:tr>
      <w:tr w:rsidR="004E60A2" w:rsidRPr="004E60A2" w14:paraId="2A0EBC50" w14:textId="77777777" w:rsidTr="0099075F">
        <w:trPr>
          <w:trHeight w:val="506"/>
        </w:trPr>
        <w:tc>
          <w:tcPr>
            <w:tcW w:w="0" w:type="auto"/>
            <w:hideMark/>
          </w:tcPr>
          <w:p w14:paraId="69F2FE32"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lastRenderedPageBreak/>
              <w:t xml:space="preserve">42. Процедура реагування на порушення персональних даних і сповіщення  </w:t>
            </w:r>
          </w:p>
        </w:tc>
      </w:tr>
      <w:tr w:rsidR="004E60A2" w:rsidRPr="004E60A2" w14:paraId="4BF5397F" w14:textId="77777777" w:rsidTr="0099075F">
        <w:trPr>
          <w:trHeight w:val="506"/>
        </w:trPr>
        <w:tc>
          <w:tcPr>
            <w:tcW w:w="0" w:type="auto"/>
            <w:hideMark/>
          </w:tcPr>
          <w:p w14:paraId="125B19B0"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43. Реєстр порушень персональних даних (зразок)</w:t>
            </w:r>
          </w:p>
        </w:tc>
      </w:tr>
      <w:tr w:rsidR="004E60A2" w:rsidRPr="004E60A2" w14:paraId="67F3D92B" w14:textId="77777777" w:rsidTr="0099075F">
        <w:trPr>
          <w:trHeight w:val="506"/>
        </w:trPr>
        <w:tc>
          <w:tcPr>
            <w:tcW w:w="0" w:type="auto"/>
            <w:hideMark/>
          </w:tcPr>
          <w:p w14:paraId="19AB9EB2"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44. Форма повідомлення про порушення персональних даних для наглядового органу</w:t>
            </w:r>
          </w:p>
        </w:tc>
      </w:tr>
      <w:tr w:rsidR="004E60A2" w:rsidRPr="004E60A2" w14:paraId="603CC35E" w14:textId="77777777" w:rsidTr="0099075F">
        <w:trPr>
          <w:trHeight w:val="506"/>
        </w:trPr>
        <w:tc>
          <w:tcPr>
            <w:tcW w:w="0" w:type="auto"/>
            <w:hideMark/>
          </w:tcPr>
          <w:p w14:paraId="10DF43E8" w14:textId="77777777" w:rsidR="004E60A2" w:rsidRPr="004E60A2" w:rsidRDefault="004E60A2" w:rsidP="004E60A2">
            <w:pPr>
              <w:rPr>
                <w:rFonts w:ascii="Times New Roman" w:hAnsi="Times New Roman" w:cs="Times New Roman"/>
                <w:sz w:val="24"/>
                <w:szCs w:val="24"/>
                <w:lang w:eastAsia="uk-UA"/>
              </w:rPr>
            </w:pPr>
            <w:r w:rsidRPr="004E60A2">
              <w:rPr>
                <w:rFonts w:ascii="Times New Roman" w:hAnsi="Times New Roman" w:cs="Times New Roman"/>
                <w:sz w:val="24"/>
                <w:szCs w:val="24"/>
                <w:lang w:eastAsia="uk-UA"/>
              </w:rPr>
              <w:t>45. Форма сповіщення суб’єктів персональних даних про порушення персональних даних</w:t>
            </w:r>
          </w:p>
        </w:tc>
      </w:tr>
    </w:tbl>
    <w:p w14:paraId="161FCDCF" w14:textId="77777777" w:rsidR="004E60A2" w:rsidRPr="004E60A2" w:rsidRDefault="004E60A2" w:rsidP="004E60A2">
      <w:pPr>
        <w:spacing w:after="0" w:line="240" w:lineRule="auto"/>
        <w:jc w:val="center"/>
        <w:rPr>
          <w:rFonts w:ascii="Times New Roman" w:hAnsi="Times New Roman" w:cs="Times New Roman"/>
          <w:b/>
          <w:bCs/>
          <w:sz w:val="24"/>
          <w:szCs w:val="24"/>
          <w:lang w:eastAsia="uk-UA"/>
        </w:rPr>
      </w:pPr>
    </w:p>
    <w:p w14:paraId="5D273DD0" w14:textId="77777777" w:rsidR="004E60A2" w:rsidRPr="004E60A2" w:rsidRDefault="004E60A2" w:rsidP="004E60A2">
      <w:pPr>
        <w:spacing w:after="0" w:line="240" w:lineRule="auto"/>
        <w:jc w:val="center"/>
        <w:rPr>
          <w:rFonts w:ascii="Times New Roman" w:hAnsi="Times New Roman" w:cs="Times New Roman"/>
          <w:b/>
          <w:bCs/>
          <w:sz w:val="24"/>
          <w:szCs w:val="24"/>
          <w:lang w:eastAsia="uk-UA"/>
        </w:rPr>
      </w:pPr>
    </w:p>
    <w:p w14:paraId="457B3692" w14:textId="77777777" w:rsidR="004E60A2" w:rsidRPr="004E60A2" w:rsidRDefault="004E60A2" w:rsidP="004E60A2">
      <w:pPr>
        <w:spacing w:after="0" w:line="240" w:lineRule="auto"/>
        <w:jc w:val="center"/>
        <w:rPr>
          <w:rFonts w:ascii="Times New Roman" w:hAnsi="Times New Roman" w:cs="Times New Roman"/>
          <w:b/>
          <w:bCs/>
          <w:sz w:val="24"/>
          <w:szCs w:val="24"/>
          <w:lang w:eastAsia="uk-UA"/>
        </w:rPr>
      </w:pPr>
      <w:r w:rsidRPr="004E60A2">
        <w:rPr>
          <w:rFonts w:ascii="Times New Roman" w:hAnsi="Times New Roman" w:cs="Times New Roman"/>
          <w:b/>
          <w:bCs/>
          <w:sz w:val="24"/>
          <w:szCs w:val="24"/>
          <w:lang w:eastAsia="uk-UA"/>
        </w:rPr>
        <w:t>Етап 4</w:t>
      </w:r>
    </w:p>
    <w:p w14:paraId="22E948FF" w14:textId="77777777" w:rsidR="004E60A2" w:rsidRPr="004E60A2" w:rsidRDefault="004E60A2" w:rsidP="004E60A2">
      <w:pPr>
        <w:spacing w:after="0" w:line="240" w:lineRule="auto"/>
        <w:jc w:val="center"/>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t xml:space="preserve"> Проведення випробувань інформаційних ресурсів та інформаційно-комунікаційних систем на вразливості</w:t>
      </w:r>
      <w:r w:rsidRPr="004E60A2">
        <w:rPr>
          <w:rFonts w:ascii="Times New Roman" w:hAnsi="Times New Roman" w:cs="Times New Roman"/>
          <w:sz w:val="24"/>
          <w:szCs w:val="24"/>
          <w:lang w:eastAsia="uk-UA"/>
        </w:rPr>
        <w:br/>
      </w:r>
      <w:r w:rsidRPr="004E60A2">
        <w:rPr>
          <w:rFonts w:ascii="Times New Roman" w:hAnsi="Times New Roman" w:cs="Times New Roman"/>
          <w:b/>
          <w:bCs/>
          <w:sz w:val="24"/>
          <w:szCs w:val="24"/>
          <w:lang w:eastAsia="uk-UA"/>
        </w:rPr>
        <w:t>Тривалість:</w:t>
      </w:r>
      <w:r w:rsidRPr="004E60A2">
        <w:rPr>
          <w:rFonts w:ascii="Times New Roman" w:hAnsi="Times New Roman" w:cs="Times New Roman"/>
          <w:sz w:val="24"/>
          <w:szCs w:val="24"/>
          <w:lang w:eastAsia="uk-UA"/>
        </w:rPr>
        <w:t xml:space="preserve"> 30 робочих днів (з дати отримання заявки на проведення випробувань)</w:t>
      </w:r>
      <w:r w:rsidRPr="004E60A2">
        <w:rPr>
          <w:rFonts w:ascii="Times New Roman" w:hAnsi="Times New Roman" w:cs="Times New Roman"/>
          <w:sz w:val="24"/>
          <w:szCs w:val="24"/>
          <w:lang w:eastAsia="uk-UA"/>
        </w:rPr>
        <w:br/>
      </w:r>
    </w:p>
    <w:p w14:paraId="6AA21CD3"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b/>
          <w:iCs/>
          <w:sz w:val="24"/>
          <w:szCs w:val="24"/>
          <w:lang w:eastAsia="uk-UA"/>
        </w:rPr>
        <w:t>Завдання:</w:t>
      </w:r>
      <w:r w:rsidRPr="004E60A2">
        <w:rPr>
          <w:rFonts w:ascii="Times New Roman" w:hAnsi="Times New Roman" w:cs="Times New Roman"/>
          <w:iCs/>
          <w:sz w:val="24"/>
          <w:szCs w:val="24"/>
          <w:lang w:eastAsia="uk-UA"/>
        </w:rPr>
        <w:t xml:space="preserve"> пошук вразливостей інформаційних систем Замовника.</w:t>
      </w:r>
    </w:p>
    <w:p w14:paraId="6838C1B6"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b/>
          <w:iCs/>
          <w:sz w:val="24"/>
          <w:szCs w:val="24"/>
          <w:lang w:eastAsia="uk-UA"/>
        </w:rPr>
        <w:t>Об’єкти аналізу:</w:t>
      </w:r>
      <w:r w:rsidRPr="004E60A2">
        <w:rPr>
          <w:rFonts w:ascii="Times New Roman" w:hAnsi="Times New Roman" w:cs="Times New Roman"/>
          <w:iCs/>
          <w:sz w:val="24"/>
          <w:szCs w:val="24"/>
          <w:lang w:eastAsia="uk-UA"/>
        </w:rPr>
        <w:t xml:space="preserve"> дані про об'єкти визначаються у </w:t>
      </w:r>
      <w:r w:rsidRPr="004E60A2">
        <w:rPr>
          <w:rFonts w:ascii="Times New Roman" w:hAnsi="Times New Roman" w:cs="Times New Roman"/>
          <w:sz w:val="24"/>
          <w:szCs w:val="24"/>
          <w:lang w:eastAsia="uk-UA"/>
        </w:rPr>
        <w:t>заявці на проведення випробувань</w:t>
      </w:r>
      <w:r w:rsidRPr="004E60A2">
        <w:rPr>
          <w:rFonts w:ascii="Times New Roman" w:hAnsi="Times New Roman" w:cs="Times New Roman"/>
          <w:iCs/>
          <w:sz w:val="24"/>
          <w:szCs w:val="24"/>
          <w:lang w:eastAsia="uk-UA"/>
        </w:rPr>
        <w:t>.</w:t>
      </w:r>
    </w:p>
    <w:p w14:paraId="646C5502" w14:textId="77777777" w:rsidR="004E60A2" w:rsidRPr="004E60A2" w:rsidRDefault="004E60A2" w:rsidP="004E60A2">
      <w:pPr>
        <w:spacing w:after="0" w:line="240" w:lineRule="auto"/>
        <w:jc w:val="both"/>
        <w:rPr>
          <w:rFonts w:ascii="Times New Roman" w:hAnsi="Times New Roman" w:cs="Times New Roman"/>
          <w:b/>
          <w:iCs/>
          <w:sz w:val="24"/>
          <w:szCs w:val="24"/>
          <w:lang w:eastAsia="uk-UA"/>
        </w:rPr>
      </w:pPr>
      <w:r w:rsidRPr="004E60A2">
        <w:rPr>
          <w:rFonts w:ascii="Times New Roman" w:hAnsi="Times New Roman" w:cs="Times New Roman"/>
          <w:b/>
          <w:iCs/>
          <w:sz w:val="24"/>
          <w:szCs w:val="24"/>
          <w:lang w:eastAsia="uk-UA"/>
        </w:rPr>
        <w:t xml:space="preserve">Кількість об’єктів аналізу: </w:t>
      </w:r>
    </w:p>
    <w:p w14:paraId="2B060B2A"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 Зовнішній периметр: щонайменше 6 доменних імен, 20 зовнішніх ІР адрес (веб-додатків) та 2 мобільні додатки.</w:t>
      </w:r>
    </w:p>
    <w:p w14:paraId="21E71124"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 Внутрішній периметр: щонайменше 54 мереж та 300 IP-адрес (</w:t>
      </w:r>
      <w:proofErr w:type="spellStart"/>
      <w:r w:rsidRPr="004E60A2">
        <w:rPr>
          <w:rFonts w:ascii="Times New Roman" w:hAnsi="Times New Roman" w:cs="Times New Roman"/>
          <w:iCs/>
          <w:sz w:val="24"/>
          <w:szCs w:val="24"/>
          <w:lang w:eastAsia="uk-UA"/>
        </w:rPr>
        <w:t>хостів</w:t>
      </w:r>
      <w:proofErr w:type="spellEnd"/>
      <w:r w:rsidRPr="004E60A2">
        <w:rPr>
          <w:rFonts w:ascii="Times New Roman" w:hAnsi="Times New Roman" w:cs="Times New Roman"/>
          <w:iCs/>
          <w:sz w:val="24"/>
          <w:szCs w:val="24"/>
          <w:lang w:eastAsia="uk-UA"/>
        </w:rPr>
        <w:t>).</w:t>
      </w:r>
    </w:p>
    <w:p w14:paraId="38896579"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b/>
          <w:iCs/>
          <w:sz w:val="24"/>
          <w:szCs w:val="24"/>
          <w:lang w:eastAsia="uk-UA"/>
        </w:rPr>
        <w:t>Методи аналізу:</w:t>
      </w:r>
      <w:r w:rsidRPr="004E60A2">
        <w:rPr>
          <w:rFonts w:ascii="Times New Roman" w:hAnsi="Times New Roman" w:cs="Times New Roman"/>
          <w:iCs/>
          <w:sz w:val="24"/>
          <w:szCs w:val="24"/>
          <w:lang w:eastAsia="uk-UA"/>
        </w:rPr>
        <w:t xml:space="preserve"> Випробування на проникнення інформаційної системи (тестування на проникнення) здійснюється по зовнішньому та внутрішньому комунікаційному каналу за принципом чорного та сірого ящику.</w:t>
      </w:r>
    </w:p>
    <w:p w14:paraId="0A06B32B"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Після проведення випробування Виконавець готує звіт та надає спеціалістам Замовника консультації (роз’яснення) щодо усунення виявлених недоліків.</w:t>
      </w:r>
    </w:p>
    <w:p w14:paraId="3E1434CA"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b/>
          <w:iCs/>
          <w:sz w:val="24"/>
          <w:szCs w:val="24"/>
          <w:lang w:eastAsia="uk-UA"/>
        </w:rPr>
        <w:t>Періодичність перевірок:</w:t>
      </w:r>
      <w:r w:rsidRPr="004E60A2">
        <w:rPr>
          <w:rFonts w:ascii="Times New Roman" w:hAnsi="Times New Roman" w:cs="Times New Roman"/>
          <w:iCs/>
          <w:sz w:val="24"/>
          <w:szCs w:val="24"/>
          <w:lang w:eastAsia="uk-UA"/>
        </w:rPr>
        <w:t xml:space="preserve"> 1 раз по всіх об’єктах аналізу.</w:t>
      </w:r>
    </w:p>
    <w:p w14:paraId="2839FDC1"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 xml:space="preserve">При здійсненні аналізу Виконавець використовує автоматизовану перевірку та обов’язково ручний пошук і експлуатацію вразливостей. Виконавець здійснює оцінку можливості отримання несанкціонованого доступу в процесі моделювання атак, шукає максимальну кількість вразливостей виходячи з наявної інформації, знань та можливостей інструментальних засобів. При проведенні тестування на проникнення Виконавець проводить випробування за принципом чорного ящику, тобто може отримувати від Замовника загальну інформацію щодо доменів та </w:t>
      </w:r>
      <w:proofErr w:type="spellStart"/>
      <w:r w:rsidRPr="004E60A2">
        <w:rPr>
          <w:rFonts w:ascii="Times New Roman" w:hAnsi="Times New Roman" w:cs="Times New Roman"/>
          <w:iCs/>
          <w:sz w:val="24"/>
          <w:szCs w:val="24"/>
          <w:lang w:eastAsia="uk-UA"/>
        </w:rPr>
        <w:t>ір</w:t>
      </w:r>
      <w:proofErr w:type="spellEnd"/>
      <w:r w:rsidRPr="004E60A2">
        <w:rPr>
          <w:rFonts w:ascii="Times New Roman" w:hAnsi="Times New Roman" w:cs="Times New Roman"/>
          <w:iCs/>
          <w:sz w:val="24"/>
          <w:szCs w:val="24"/>
          <w:lang w:eastAsia="uk-UA"/>
        </w:rPr>
        <w:t>-адрес, а також сірого ящика коли Виконавець вже знаходиться в локальній мережі Замовника та здійснює дії щодо подальшого проникнення та виявлення вразливостей.</w:t>
      </w:r>
    </w:p>
    <w:p w14:paraId="53C89CD2"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При виконанні тестування спеціалісти повинні здійснити:</w:t>
      </w:r>
    </w:p>
    <w:p w14:paraId="5234F79C" w14:textId="77777777" w:rsidR="004E60A2" w:rsidRPr="004E60A2" w:rsidRDefault="004E60A2" w:rsidP="004E60A2">
      <w:pPr>
        <w:numPr>
          <w:ilvl w:val="0"/>
          <w:numId w:val="44"/>
        </w:numPr>
        <w:spacing w:after="0" w:line="240" w:lineRule="auto"/>
        <w:ind w:left="426"/>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збір інформації про інфраструктуру Замовника з відкритих джерел у пасивний та активний спосіб;</w:t>
      </w:r>
    </w:p>
    <w:p w14:paraId="550BF4E9" w14:textId="77777777" w:rsidR="004E60A2" w:rsidRPr="004E60A2" w:rsidRDefault="004E60A2" w:rsidP="004E60A2">
      <w:pPr>
        <w:numPr>
          <w:ilvl w:val="0"/>
          <w:numId w:val="44"/>
        </w:numPr>
        <w:spacing w:after="0" w:line="240" w:lineRule="auto"/>
        <w:ind w:left="426"/>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проведення сканування мереж та систем у інфраструктурі Замовника, що включено у перелік цілей для тестування;</w:t>
      </w:r>
    </w:p>
    <w:p w14:paraId="46BF754C" w14:textId="77777777" w:rsidR="004E60A2" w:rsidRPr="004E60A2" w:rsidRDefault="004E60A2" w:rsidP="004E60A2">
      <w:pPr>
        <w:numPr>
          <w:ilvl w:val="0"/>
          <w:numId w:val="44"/>
        </w:numPr>
        <w:spacing w:after="0" w:line="240" w:lineRule="auto"/>
        <w:ind w:left="426"/>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випробування на вразливості знайдених активів та сервісів під час попередніх етапів тестування;</w:t>
      </w:r>
    </w:p>
    <w:p w14:paraId="3A03B89B" w14:textId="77777777" w:rsidR="004E60A2" w:rsidRPr="004E60A2" w:rsidRDefault="004E60A2" w:rsidP="004E60A2">
      <w:pPr>
        <w:numPr>
          <w:ilvl w:val="0"/>
          <w:numId w:val="44"/>
        </w:numPr>
        <w:spacing w:after="0" w:line="240" w:lineRule="auto"/>
        <w:ind w:left="426"/>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 xml:space="preserve">аналіз результатів випробувань з метою </w:t>
      </w:r>
      <w:proofErr w:type="spellStart"/>
      <w:r w:rsidRPr="004E60A2">
        <w:rPr>
          <w:rFonts w:ascii="Times New Roman" w:hAnsi="Times New Roman" w:cs="Times New Roman"/>
          <w:iCs/>
          <w:sz w:val="24"/>
          <w:szCs w:val="24"/>
          <w:lang w:eastAsia="uk-UA"/>
        </w:rPr>
        <w:t>пріоритезації</w:t>
      </w:r>
      <w:proofErr w:type="spellEnd"/>
      <w:r w:rsidRPr="004E60A2">
        <w:rPr>
          <w:rFonts w:ascii="Times New Roman" w:hAnsi="Times New Roman" w:cs="Times New Roman"/>
          <w:iCs/>
          <w:sz w:val="24"/>
          <w:szCs w:val="24"/>
          <w:lang w:eastAsia="uk-UA"/>
        </w:rPr>
        <w:t xml:space="preserve"> подальшого ходу тестування;</w:t>
      </w:r>
    </w:p>
    <w:p w14:paraId="3BCDDD8A" w14:textId="77777777" w:rsidR="004E60A2" w:rsidRPr="004E60A2" w:rsidRDefault="004E60A2" w:rsidP="004E60A2">
      <w:pPr>
        <w:numPr>
          <w:ilvl w:val="0"/>
          <w:numId w:val="44"/>
        </w:numPr>
        <w:spacing w:after="0" w:line="240" w:lineRule="auto"/>
        <w:ind w:left="426"/>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класифікація вразливостей і вибір неявних вразливостей для перевірки, оцінка вразливостей відповідно до галузевого стандарту CVSS;</w:t>
      </w:r>
    </w:p>
    <w:p w14:paraId="63B8B8B1" w14:textId="77777777" w:rsidR="004E60A2" w:rsidRPr="004E60A2" w:rsidRDefault="004E60A2" w:rsidP="004E60A2">
      <w:pPr>
        <w:numPr>
          <w:ilvl w:val="0"/>
          <w:numId w:val="44"/>
        </w:numPr>
        <w:spacing w:after="0" w:line="240" w:lineRule="auto"/>
        <w:ind w:left="426"/>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документування вразливостей та збір доказів перевірки;</w:t>
      </w:r>
    </w:p>
    <w:p w14:paraId="40925C08" w14:textId="77777777" w:rsidR="004E60A2" w:rsidRPr="004E60A2" w:rsidRDefault="004E60A2" w:rsidP="004E60A2">
      <w:pPr>
        <w:numPr>
          <w:ilvl w:val="0"/>
          <w:numId w:val="44"/>
        </w:numPr>
        <w:spacing w:after="0" w:line="240" w:lineRule="auto"/>
        <w:ind w:left="426"/>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аналіз результатів перевірки вразливостей;</w:t>
      </w:r>
    </w:p>
    <w:p w14:paraId="49E170CD" w14:textId="77777777" w:rsidR="004E60A2" w:rsidRPr="004E60A2" w:rsidRDefault="004E60A2" w:rsidP="004E60A2">
      <w:pPr>
        <w:numPr>
          <w:ilvl w:val="0"/>
          <w:numId w:val="44"/>
        </w:numPr>
        <w:spacing w:after="0" w:line="240" w:lineRule="auto"/>
        <w:ind w:left="426"/>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підготовку звіту з тестування з рекомендаціями, щодо усунення знайдених вразливостей та недоліків безпеки в інформаційно-комунікаційних системах Замовника.</w:t>
      </w:r>
    </w:p>
    <w:p w14:paraId="68B156C4"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Усі послуги з тестування на проникнення проводяться тільки після отримання Виконавцем від Замовника офіційного листа та/або електронного повідомлення на дозвіл таких послуг.</w:t>
      </w:r>
    </w:p>
    <w:p w14:paraId="765A856D"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 xml:space="preserve">У випадку можливості виходу з ладу або погіршення показників роботи елементів інфраструктури Замовника в результаті виконання випробувань, такі випробування негайно припиняються до отримання дозволу від Замовника на продовження саме такого виду </w:t>
      </w:r>
      <w:r w:rsidRPr="004E60A2">
        <w:rPr>
          <w:rFonts w:ascii="Times New Roman" w:hAnsi="Times New Roman" w:cs="Times New Roman"/>
          <w:iCs/>
          <w:sz w:val="24"/>
          <w:szCs w:val="24"/>
          <w:lang w:eastAsia="uk-UA"/>
        </w:rPr>
        <w:lastRenderedPageBreak/>
        <w:t>випробувань. У випадку отримання доступу до конфіденційної інформації в інформаційній системі Замовника, випробування відносно цієї системи припиняються до отримання дозволу від Замовника на продовження випробувань відносно цієї системи.</w:t>
      </w:r>
    </w:p>
    <w:p w14:paraId="09BD99D7" w14:textId="77777777" w:rsidR="004E60A2" w:rsidRPr="004E60A2" w:rsidRDefault="004E60A2" w:rsidP="004E60A2">
      <w:pPr>
        <w:spacing w:after="0" w:line="240" w:lineRule="auto"/>
        <w:jc w:val="both"/>
        <w:rPr>
          <w:rFonts w:ascii="Times New Roman" w:hAnsi="Times New Roman" w:cs="Times New Roman"/>
          <w:i/>
          <w:iCs/>
          <w:sz w:val="24"/>
          <w:szCs w:val="24"/>
          <w:lang w:eastAsia="uk-UA"/>
        </w:rPr>
      </w:pPr>
      <w:r w:rsidRPr="004E60A2">
        <w:rPr>
          <w:rFonts w:ascii="Times New Roman" w:hAnsi="Times New Roman" w:cs="Times New Roman"/>
          <w:b/>
          <w:iCs/>
          <w:sz w:val="24"/>
          <w:szCs w:val="24"/>
          <w:lang w:eastAsia="uk-UA"/>
        </w:rPr>
        <w:t xml:space="preserve">Результат надання послуг: </w:t>
      </w:r>
      <w:r w:rsidRPr="004E60A2">
        <w:rPr>
          <w:rFonts w:ascii="Times New Roman" w:hAnsi="Times New Roman" w:cs="Times New Roman"/>
          <w:iCs/>
          <w:sz w:val="24"/>
          <w:szCs w:val="24"/>
          <w:lang w:eastAsia="uk-UA"/>
        </w:rPr>
        <w:t>звіт за результатами тестування.</w:t>
      </w:r>
      <w:r w:rsidRPr="004E60A2">
        <w:rPr>
          <w:rFonts w:ascii="Times New Roman" w:hAnsi="Times New Roman" w:cs="Times New Roman"/>
          <w:b/>
          <w:iCs/>
          <w:sz w:val="24"/>
          <w:szCs w:val="24"/>
          <w:lang w:eastAsia="uk-UA"/>
        </w:rPr>
        <w:t xml:space="preserve"> </w:t>
      </w:r>
      <w:r w:rsidRPr="004E60A2">
        <w:rPr>
          <w:rFonts w:ascii="Times New Roman" w:hAnsi="Times New Roman" w:cs="Times New Roman"/>
          <w:iCs/>
          <w:sz w:val="24"/>
          <w:szCs w:val="24"/>
          <w:lang w:eastAsia="uk-UA"/>
        </w:rPr>
        <w:t>Звіт містить наступну інформацію:</w:t>
      </w:r>
    </w:p>
    <w:p w14:paraId="49C38EAB"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1. Резюме. Стисле викладення результатів випробувань;</w:t>
      </w:r>
    </w:p>
    <w:p w14:paraId="6E450D7C"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2. Мета тестування. Опис цілей проведення випробувань;</w:t>
      </w:r>
    </w:p>
    <w:p w14:paraId="6A23464E"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3. Область дії. Визначення області дії випробувань;</w:t>
      </w:r>
    </w:p>
    <w:p w14:paraId="664D0CB4"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4. Опис методики. Методики та інструменти, що були використані Виконавцем в ході тесту та його окремих етапів;</w:t>
      </w:r>
    </w:p>
    <w:p w14:paraId="34ED4496"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5. Результати випробувань. Детальні результати тестування та рекомендації:</w:t>
      </w:r>
    </w:p>
    <w:p w14:paraId="0D6CF740"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назва вразливості; перелік вразливих систем (сервісів);  статус вразливостей (дійсна/не дійсна/потенційна); рівень ризику; опис вразливостей; дії щодо перевірки вразливості (опис виконаних атак); докази перевірки; рекомендації з усунення.</w:t>
      </w:r>
    </w:p>
    <w:p w14:paraId="2856140A" w14:textId="77777777" w:rsidR="004E60A2" w:rsidRPr="004E60A2" w:rsidRDefault="004E60A2" w:rsidP="004E60A2">
      <w:pPr>
        <w:spacing w:after="0" w:line="240" w:lineRule="auto"/>
        <w:jc w:val="both"/>
        <w:rPr>
          <w:rFonts w:ascii="Times New Roman" w:hAnsi="Times New Roman" w:cs="Times New Roman"/>
          <w:iCs/>
          <w:sz w:val="24"/>
          <w:szCs w:val="24"/>
          <w:lang w:eastAsia="uk-UA"/>
        </w:rPr>
      </w:pPr>
      <w:r w:rsidRPr="004E60A2">
        <w:rPr>
          <w:rFonts w:ascii="Times New Roman" w:hAnsi="Times New Roman" w:cs="Times New Roman"/>
          <w:iCs/>
          <w:sz w:val="24"/>
          <w:szCs w:val="24"/>
          <w:lang w:eastAsia="uk-UA"/>
        </w:rPr>
        <w:t>Звіти з тестування оформлюються українською мовою та передаються Замовнику електронними поштовими повідомленнями та/або офіційним листом.</w:t>
      </w:r>
    </w:p>
    <w:p w14:paraId="094B898B" w14:textId="77777777" w:rsidR="004E60A2" w:rsidRPr="004E60A2" w:rsidRDefault="004E60A2" w:rsidP="004E60A2">
      <w:p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t>Загальні вимоги до результатів послуг:</w:t>
      </w:r>
    </w:p>
    <w:p w14:paraId="31E85F08" w14:textId="77777777" w:rsidR="004E60A2" w:rsidRPr="004E60A2" w:rsidRDefault="004E60A2" w:rsidP="004E60A2">
      <w:pPr>
        <w:numPr>
          <w:ilvl w:val="0"/>
          <w:numId w:val="37"/>
        </w:numPr>
        <w:spacing w:after="0" w:line="240" w:lineRule="auto"/>
        <w:jc w:val="both"/>
        <w:rPr>
          <w:rFonts w:ascii="Times New Roman" w:hAnsi="Times New Roman" w:cs="Times New Roman"/>
          <w:sz w:val="24"/>
          <w:szCs w:val="24"/>
          <w:lang w:eastAsia="uk-UA"/>
        </w:rPr>
      </w:pPr>
      <w:r w:rsidRPr="004E60A2">
        <w:rPr>
          <w:rFonts w:ascii="Times New Roman" w:hAnsi="Times New Roman" w:cs="Times New Roman"/>
          <w:b/>
          <w:bCs/>
          <w:sz w:val="24"/>
          <w:szCs w:val="24"/>
          <w:lang w:eastAsia="uk-UA"/>
        </w:rPr>
        <w:t>Звіти та документація:</w:t>
      </w:r>
      <w:r w:rsidRPr="004E60A2">
        <w:rPr>
          <w:rFonts w:ascii="Times New Roman" w:hAnsi="Times New Roman" w:cs="Times New Roman"/>
          <w:sz w:val="24"/>
          <w:szCs w:val="24"/>
          <w:lang w:eastAsia="uk-UA"/>
        </w:rPr>
        <w:t xml:space="preserve"> Після завершення кожного етапу створення СУІБ Замовнику надається розроблена Виконавцем документація СУІБ (у форматах .</w:t>
      </w:r>
      <w:proofErr w:type="spellStart"/>
      <w:r w:rsidRPr="004E60A2">
        <w:rPr>
          <w:rFonts w:ascii="Times New Roman" w:hAnsi="Times New Roman" w:cs="Times New Roman"/>
          <w:sz w:val="24"/>
          <w:szCs w:val="24"/>
          <w:lang w:eastAsia="uk-UA"/>
        </w:rPr>
        <w:t>docx</w:t>
      </w:r>
      <w:proofErr w:type="spellEnd"/>
      <w:r w:rsidRPr="004E60A2">
        <w:rPr>
          <w:rFonts w:ascii="Times New Roman" w:hAnsi="Times New Roman" w:cs="Times New Roman"/>
          <w:sz w:val="24"/>
          <w:szCs w:val="24"/>
          <w:lang w:eastAsia="uk-UA"/>
        </w:rPr>
        <w:t>/.</w:t>
      </w:r>
      <w:proofErr w:type="spellStart"/>
      <w:r w:rsidRPr="004E60A2">
        <w:rPr>
          <w:rFonts w:ascii="Times New Roman" w:hAnsi="Times New Roman" w:cs="Times New Roman"/>
          <w:sz w:val="24"/>
          <w:szCs w:val="24"/>
          <w:lang w:eastAsia="uk-UA"/>
        </w:rPr>
        <w:t>doc</w:t>
      </w:r>
      <w:proofErr w:type="spellEnd"/>
      <w:r w:rsidRPr="004E60A2">
        <w:rPr>
          <w:rFonts w:ascii="Times New Roman" w:hAnsi="Times New Roman" w:cs="Times New Roman"/>
          <w:sz w:val="24"/>
          <w:szCs w:val="24"/>
          <w:lang w:eastAsia="uk-UA"/>
        </w:rPr>
        <w:t xml:space="preserve"> та .</w:t>
      </w:r>
      <w:proofErr w:type="spellStart"/>
      <w:r w:rsidRPr="004E60A2">
        <w:rPr>
          <w:rFonts w:ascii="Times New Roman" w:hAnsi="Times New Roman" w:cs="Times New Roman"/>
          <w:sz w:val="24"/>
          <w:szCs w:val="24"/>
          <w:lang w:eastAsia="uk-UA"/>
        </w:rPr>
        <w:t>xlsx</w:t>
      </w:r>
      <w:proofErr w:type="spellEnd"/>
      <w:r w:rsidRPr="004E60A2">
        <w:rPr>
          <w:rFonts w:ascii="Times New Roman" w:hAnsi="Times New Roman" w:cs="Times New Roman"/>
          <w:sz w:val="24"/>
          <w:szCs w:val="24"/>
          <w:lang w:eastAsia="uk-UA"/>
        </w:rPr>
        <w:t>/.</w:t>
      </w:r>
      <w:proofErr w:type="spellStart"/>
      <w:r w:rsidRPr="004E60A2">
        <w:rPr>
          <w:rFonts w:ascii="Times New Roman" w:hAnsi="Times New Roman" w:cs="Times New Roman"/>
          <w:sz w:val="24"/>
          <w:szCs w:val="24"/>
          <w:lang w:eastAsia="uk-UA"/>
        </w:rPr>
        <w:t>xls</w:t>
      </w:r>
      <w:proofErr w:type="spellEnd"/>
      <w:r w:rsidRPr="004E60A2">
        <w:rPr>
          <w:rFonts w:ascii="Times New Roman" w:hAnsi="Times New Roman" w:cs="Times New Roman"/>
          <w:sz w:val="24"/>
          <w:szCs w:val="24"/>
          <w:lang w:eastAsia="uk-UA"/>
        </w:rPr>
        <w:t>), що має проєктний (</w:t>
      </w:r>
      <w:proofErr w:type="spellStart"/>
      <w:r w:rsidRPr="004E60A2">
        <w:rPr>
          <w:rFonts w:ascii="Times New Roman" w:hAnsi="Times New Roman" w:cs="Times New Roman"/>
          <w:sz w:val="24"/>
          <w:szCs w:val="24"/>
          <w:lang w:eastAsia="uk-UA"/>
        </w:rPr>
        <w:t>draft</w:t>
      </w:r>
      <w:proofErr w:type="spellEnd"/>
      <w:r w:rsidRPr="004E60A2">
        <w:rPr>
          <w:rFonts w:ascii="Times New Roman" w:hAnsi="Times New Roman" w:cs="Times New Roman"/>
          <w:sz w:val="24"/>
          <w:szCs w:val="24"/>
          <w:lang w:eastAsia="uk-UA"/>
        </w:rPr>
        <w:t xml:space="preserve">) характер і призначена для подальшого використання Замовником, у тому числі для редагування, доопрацювання та адаптації відповідно до його потреб; після завершення етапу 4 Виконавець надає Замовнику захищеними каналами зв’язку конфіденційний звіт, який має містити детальний опис тестування і вразливостей, а також рекомендації щодо усунення знайдених вразливостей. </w:t>
      </w:r>
    </w:p>
    <w:p w14:paraId="3A927EF6" w14:textId="77777777" w:rsidR="004E60A2" w:rsidRPr="004E60A2" w:rsidRDefault="004E60A2" w:rsidP="004E60A2">
      <w:pPr>
        <w:spacing w:after="0" w:line="240" w:lineRule="auto"/>
        <w:ind w:left="720"/>
        <w:jc w:val="both"/>
        <w:rPr>
          <w:rFonts w:ascii="Times New Roman" w:hAnsi="Times New Roman" w:cs="Times New Roman"/>
          <w:sz w:val="24"/>
          <w:szCs w:val="24"/>
          <w:lang w:val="en-US" w:eastAsia="uk-UA"/>
        </w:rPr>
      </w:pPr>
      <w:r w:rsidRPr="004E60A2">
        <w:rPr>
          <w:rFonts w:ascii="Times New Roman" w:hAnsi="Times New Roman" w:cs="Times New Roman"/>
          <w:sz w:val="24"/>
          <w:szCs w:val="24"/>
          <w:lang w:eastAsia="uk-UA"/>
        </w:rPr>
        <w:t xml:space="preserve">Послуги вважаються наданими з моменту підписання </w:t>
      </w:r>
      <w:proofErr w:type="spellStart"/>
      <w:r w:rsidRPr="004E60A2">
        <w:rPr>
          <w:rFonts w:ascii="Times New Roman" w:hAnsi="Times New Roman" w:cs="Times New Roman"/>
          <w:sz w:val="24"/>
          <w:szCs w:val="24"/>
          <w:lang w:eastAsia="uk-UA"/>
        </w:rPr>
        <w:t>акта</w:t>
      </w:r>
      <w:proofErr w:type="spellEnd"/>
      <w:r w:rsidRPr="004E60A2">
        <w:rPr>
          <w:rFonts w:ascii="Times New Roman" w:hAnsi="Times New Roman" w:cs="Times New Roman"/>
          <w:sz w:val="24"/>
          <w:szCs w:val="24"/>
          <w:lang w:eastAsia="uk-UA"/>
        </w:rPr>
        <w:t xml:space="preserve"> приймання-передачі наданих послуг, який складається після отримання замовником результатів (документації СУІБ або звітів в </w:t>
      </w:r>
      <w:proofErr w:type="spellStart"/>
      <w:r w:rsidRPr="004E60A2">
        <w:rPr>
          <w:rFonts w:ascii="Times New Roman" w:hAnsi="Times New Roman" w:cs="Times New Roman"/>
          <w:sz w:val="24"/>
          <w:szCs w:val="24"/>
          <w:lang w:eastAsia="uk-UA"/>
        </w:rPr>
        <w:t>ел.вигляді</w:t>
      </w:r>
      <w:proofErr w:type="spellEnd"/>
      <w:r w:rsidRPr="004E60A2">
        <w:rPr>
          <w:rFonts w:ascii="Times New Roman" w:hAnsi="Times New Roman" w:cs="Times New Roman"/>
          <w:sz w:val="24"/>
          <w:szCs w:val="24"/>
          <w:lang w:eastAsia="uk-UA"/>
        </w:rPr>
        <w:t>) за відповідним етапом.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1B6F14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E60A2">
        <w:rPr>
          <w:rFonts w:ascii="Times New Roman" w:eastAsia="Times New Roman" w:hAnsi="Times New Roman" w:cs="Times New Roman"/>
          <w:sz w:val="24"/>
          <w:szCs w:val="24"/>
          <w:lang w:eastAsia="ru-RU"/>
        </w:rPr>
        <w:t>5 319 240,00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4E60A2">
        <w:rPr>
          <w:rFonts w:ascii="Times New Roman" w:eastAsia="Times New Roman" w:hAnsi="Times New Roman" w:cs="Times New Roman"/>
          <w:sz w:val="24"/>
          <w:szCs w:val="24"/>
          <w:lang w:eastAsia="ru-RU"/>
        </w:rPr>
        <w:t>п’ять мільйонів триста дев’ятнадцять тисяч двісті сорок гривень</w:t>
      </w:r>
      <w:r w:rsidR="00E1484E">
        <w:rPr>
          <w:rFonts w:ascii="Times New Roman" w:eastAsia="Times New Roman" w:hAnsi="Times New Roman" w:cs="Times New Roman"/>
          <w:sz w:val="24"/>
          <w:szCs w:val="24"/>
          <w:lang w:eastAsia="ru-RU"/>
        </w:rPr>
        <w:t xml:space="preserve"> </w:t>
      </w:r>
      <w:r w:rsidR="004E60A2">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7B63" w14:textId="77777777" w:rsidR="00B14ACF" w:rsidRDefault="00B14ACF">
      <w:pPr>
        <w:spacing w:after="0" w:line="240" w:lineRule="auto"/>
      </w:pPr>
      <w:r>
        <w:separator/>
      </w:r>
    </w:p>
  </w:endnote>
  <w:endnote w:type="continuationSeparator" w:id="0">
    <w:p w14:paraId="07D87A35" w14:textId="77777777" w:rsidR="00B14ACF" w:rsidRDefault="00B1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8437" w14:textId="77777777" w:rsidR="00B14ACF" w:rsidRDefault="00B14ACF">
      <w:pPr>
        <w:spacing w:after="0" w:line="240" w:lineRule="auto"/>
      </w:pPr>
      <w:r>
        <w:separator/>
      </w:r>
    </w:p>
  </w:footnote>
  <w:footnote w:type="continuationSeparator" w:id="0">
    <w:p w14:paraId="7D8524A2" w14:textId="77777777" w:rsidR="00B14ACF" w:rsidRDefault="00B14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324F19"/>
    <w:multiLevelType w:val="hybridMultilevel"/>
    <w:tmpl w:val="4B26835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195D3C4D"/>
    <w:multiLevelType w:val="multilevel"/>
    <w:tmpl w:val="2BC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8"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DE66443"/>
    <w:multiLevelType w:val="hybridMultilevel"/>
    <w:tmpl w:val="4036D77E"/>
    <w:lvl w:ilvl="0" w:tplc="3E3858C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65779F"/>
    <w:multiLevelType w:val="hybridMultilevel"/>
    <w:tmpl w:val="F7203920"/>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9D4178A"/>
    <w:multiLevelType w:val="hybridMultilevel"/>
    <w:tmpl w:val="8B34D81E"/>
    <w:lvl w:ilvl="0" w:tplc="3E3858C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6E2CBD"/>
    <w:multiLevelType w:val="hybridMultilevel"/>
    <w:tmpl w:val="1F1844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40"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E514266"/>
    <w:multiLevelType w:val="hybridMultilevel"/>
    <w:tmpl w:val="0FFEE958"/>
    <w:lvl w:ilvl="0" w:tplc="3E3858C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99123E"/>
    <w:multiLevelType w:val="hybridMultilevel"/>
    <w:tmpl w:val="1E66B4C8"/>
    <w:lvl w:ilvl="0" w:tplc="3E3858C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95435461">
    <w:abstractNumId w:val="16"/>
  </w:num>
  <w:num w:numId="2" w16cid:durableId="1729961447">
    <w:abstractNumId w:val="30"/>
  </w:num>
  <w:num w:numId="3" w16cid:durableId="556090777">
    <w:abstractNumId w:val="19"/>
  </w:num>
  <w:num w:numId="4" w16cid:durableId="1865628638">
    <w:abstractNumId w:val="28"/>
  </w:num>
  <w:num w:numId="5" w16cid:durableId="522862248">
    <w:abstractNumId w:val="34"/>
  </w:num>
  <w:num w:numId="6" w16cid:durableId="1128400551">
    <w:abstractNumId w:val="13"/>
  </w:num>
  <w:num w:numId="7" w16cid:durableId="1549879148">
    <w:abstractNumId w:val="22"/>
  </w:num>
  <w:num w:numId="8" w16cid:durableId="537087471">
    <w:abstractNumId w:val="33"/>
  </w:num>
  <w:num w:numId="9" w16cid:durableId="632519650">
    <w:abstractNumId w:val="41"/>
  </w:num>
  <w:num w:numId="10" w16cid:durableId="713892545">
    <w:abstractNumId w:val="37"/>
  </w:num>
  <w:num w:numId="11" w16cid:durableId="2031645203">
    <w:abstractNumId w:val="12"/>
  </w:num>
  <w:num w:numId="12" w16cid:durableId="1392928292">
    <w:abstractNumId w:val="17"/>
  </w:num>
  <w:num w:numId="13" w16cid:durableId="502626488">
    <w:abstractNumId w:val="38"/>
  </w:num>
  <w:num w:numId="14" w16cid:durableId="1996909732">
    <w:abstractNumId w:val="36"/>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8"/>
  </w:num>
  <w:num w:numId="26" w16cid:durableId="83501982">
    <w:abstractNumId w:val="21"/>
  </w:num>
  <w:num w:numId="27" w16cid:durableId="897714752">
    <w:abstractNumId w:val="39"/>
  </w:num>
  <w:num w:numId="28" w16cid:durableId="1340739716">
    <w:abstractNumId w:val="32"/>
  </w:num>
  <w:num w:numId="29" w16cid:durableId="1303923221">
    <w:abstractNumId w:val="10"/>
  </w:num>
  <w:num w:numId="30" w16cid:durableId="563369717">
    <w:abstractNumId w:val="7"/>
  </w:num>
  <w:num w:numId="31" w16cid:durableId="1640304287">
    <w:abstractNumId w:val="29"/>
  </w:num>
  <w:num w:numId="32" w16cid:durableId="992947525">
    <w:abstractNumId w:val="35"/>
  </w:num>
  <w:num w:numId="33" w16cid:durableId="517935318">
    <w:abstractNumId w:val="20"/>
  </w:num>
  <w:num w:numId="34" w16cid:durableId="165441230">
    <w:abstractNumId w:val="11"/>
  </w:num>
  <w:num w:numId="35" w16cid:durableId="2119257652">
    <w:abstractNumId w:val="40"/>
  </w:num>
  <w:num w:numId="36" w16cid:durableId="1737513576">
    <w:abstractNumId w:val="31"/>
  </w:num>
  <w:num w:numId="37" w16cid:durableId="1541212641">
    <w:abstractNumId w:val="14"/>
  </w:num>
  <w:num w:numId="38" w16cid:durableId="56250870">
    <w:abstractNumId w:val="27"/>
  </w:num>
  <w:num w:numId="39" w16cid:durableId="511456513">
    <w:abstractNumId w:val="42"/>
  </w:num>
  <w:num w:numId="40" w16cid:durableId="136581219">
    <w:abstractNumId w:val="43"/>
  </w:num>
  <w:num w:numId="41" w16cid:durableId="198512374">
    <w:abstractNumId w:val="23"/>
  </w:num>
  <w:num w:numId="42" w16cid:durableId="1445341201">
    <w:abstractNumId w:val="26"/>
  </w:num>
  <w:num w:numId="43" w16cid:durableId="438061217">
    <w:abstractNumId w:val="24"/>
  </w:num>
  <w:num w:numId="44" w16cid:durableId="209173679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2E9E"/>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60A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96D72"/>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14ACF"/>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96D77"/>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736CE"/>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5"/>
    <w:uiPriority w:val="39"/>
    <w:rsid w:val="00796D7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next w:val="a5"/>
    <w:uiPriority w:val="39"/>
    <w:qFormat/>
    <w:rsid w:val="004E60A2"/>
    <w:pPr>
      <w:spacing w:after="0" w:line="240" w:lineRule="auto"/>
    </w:pPr>
    <w:rPr>
      <w:lang w:val="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12</Pages>
  <Words>22426</Words>
  <Characters>12784</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2026-05-20T09:13:00Z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