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84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автоматизованих робочих місць за кодом CPV за ЄЗС ДК 021:2015: 30210000-4 Машини для обробки даних (апаратна частина)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010786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Закупівля автоматизованих робочих місць</w:t>
      </w:r>
      <w:r>
        <w:rPr>
          <w:rFonts w:ascii="Times New Roman" w:hAnsi="Times New Roman" w:cs="Times New Roman"/>
          <w:sz w:val="24"/>
          <w:szCs w:val="24"/>
        </w:rPr>
        <w:br/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/>
      <w:bookmarkStart w:id="0" w:name="_Hlk133583335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90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692"/>
              <w:jc w:val="center"/>
              <w:rPr>
                <w:rFonts w:eastAsia="Times New Roman"/>
                <w:b/>
                <w:bCs/>
                <w:lang w:val="ru-RU"/>
              </w:rPr>
            </w:pPr>
            <w:r>
              <w:rPr>
                <w:rFonts w:eastAsia="Times New Roman"/>
                <w:b/>
                <w:bCs/>
              </w:rPr>
              <w:t xml:space="preserve">№ 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92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Назва системи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92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Одиниця 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92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92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692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Автоматизоване робоче місце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2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шт.</w:t>
            </w:r>
            <w:r/>
          </w:p>
        </w:tc>
      </w:tr>
    </w:tbl>
    <w:p>
      <w:pPr>
        <w:pStyle w:val="692"/>
        <w:jc w:val="both"/>
        <w:spacing w:after="0" w:line="240" w:lineRule="auto"/>
        <w:rPr>
          <w:rFonts w:eastAsia="Times New Roman"/>
          <w:b/>
          <w:bCs/>
          <w:i/>
          <w:iCs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</w:r>
      <w:r/>
    </w:p>
    <w:p>
      <w:pPr>
        <w:pStyle w:val="692"/>
        <w:jc w:val="both"/>
        <w:spacing w:after="0" w:line="240" w:lineRule="auto"/>
        <w:rPr>
          <w:rFonts w:eastAsia="Times New Roman"/>
          <w:b/>
          <w:bCs/>
          <w:i/>
          <w:iCs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rFonts w:eastAsia="Times New Roman"/>
          <w:b/>
          <w:bCs/>
          <w:i/>
          <w:iCs/>
          <w:lang w:eastAsia="ru-RU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rFonts w:eastAsia="Times New Roman"/>
          <w:b/>
          <w:bCs/>
          <w:i/>
          <w:iCs/>
          <w:lang w:eastAsia="ru-RU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rFonts w:eastAsia="Times New Roman"/>
          <w:b/>
          <w:bCs/>
          <w:i/>
          <w:iCs/>
          <w:lang w:eastAsia="ru-RU"/>
        </w:rPr>
        <w:t xml:space="preserve">проєкту</w:t>
      </w:r>
      <w:r>
        <w:rPr>
          <w:rFonts w:eastAsia="Times New Roman"/>
          <w:b/>
          <w:bCs/>
          <w:i/>
          <w:iCs/>
          <w:lang w:eastAsia="ru-RU"/>
        </w:rPr>
        <w:t xml:space="preserve"> Договору до моменту його повного завершення</w:t>
      </w:r>
      <w:r>
        <w:rPr>
          <w:rFonts w:eastAsia="Times New Roman"/>
          <w:b/>
          <w:bCs/>
          <w:i/>
          <w:iCs/>
          <w:lang w:eastAsia="uk-UA"/>
        </w:rPr>
        <w:t xml:space="preserve">.</w:t>
      </w:r>
      <w:r/>
    </w:p>
    <w:p>
      <w:pPr>
        <w:pStyle w:val="692"/>
        <w:ind w:firstLine="567"/>
        <w:jc w:val="both"/>
        <w:spacing w:after="0" w:line="240" w:lineRule="auto"/>
        <w:rPr>
          <w:rFonts w:eastAsia="Times New Roman"/>
          <w:color w:val="000000" w:themeColor="text1"/>
          <w:shd w:val="clear" w:color="auto" w:fill="ffffff"/>
        </w:rPr>
      </w:pPr>
      <w:r/>
      <w:bookmarkStart w:id="1" w:name="_Hlk131598067"/>
      <w:r>
        <w:rPr>
          <w:rFonts w:eastAsia="Times New Roman"/>
          <w:color w:val="000000" w:themeColor="text1"/>
          <w:shd w:val="clear" w:color="auto" w:fill="ffffff"/>
          <w:lang w:eastAsia="uk-UA"/>
        </w:rPr>
        <w:t xml:space="preserve">1. Товар повинен постачатись новим в упаковці та з маркуванням виробника, а також повинна бути в наявності технічна документація, яка входить до комплекту постачання фірми-виробника.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У разі постачання неякісного Товару, Постачальник забезпечує заміну неякісного Товару якісним за власний рахунок при пред’явлені Покупцем не пізніше 7 робочих днів після отримання Товару.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Наявність заявлених Покупцем недоліків та причини їх виникнення повинно встановлюватись актом обстеження технічного стану Товару, який обов’язково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укладається між Сторонами і є підставою для усунення Постачальником недоліків Товару у термін, що узгоджується за домовленістю Сторін. Акт обстеження технічного стану складається сервісним (технічним) центром Постачальника за участю представника Покупця.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Виконання постачання повинно здійснюватися у відповідно до діючих нормативно-правових документів та умов цього </w:t>
      </w:r>
      <w:r>
        <w:rPr>
          <w:rFonts w:ascii="Times New Roman" w:hAnsi="Times New Roman" w:cs="Times New Roman"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sz w:val="24"/>
          <w:szCs w:val="24"/>
        </w:rPr>
        <w:t xml:space="preserve"> Договору.</w:t>
      </w:r>
      <w:bookmarkStart w:id="2" w:name="_Hlk131682113"/>
      <w:r/>
      <w:bookmarkEnd w:id="1"/>
      <w:r/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Надати у складі пропозиції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копію чинної ліцензії </w:t>
      </w:r>
      <w:r>
        <w:rPr>
          <w:rFonts w:ascii="Times New Roman" w:hAnsi="Times New Roman" w:cs="Times New Roman"/>
          <w:sz w:val="24"/>
          <w:szCs w:val="24"/>
        </w:rPr>
        <w:t xml:space="preserve">або документа дозвільного характеру (у разі їх наявності) на провадження певного виду господарської діяльності, якщо отримання дозволу або ліцензії на провадження такого виду діяльності передбачено законом.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pStyle w:val="688"/>
        <w:ind w:left="0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Гарантійні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зобов’язання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всіх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найменувань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повинні</w:t>
      </w:r>
      <w:r>
        <w:rPr>
          <w:rFonts w:ascii="Times New Roman" w:hAnsi="Times New Roman" w:cs="Times New Roman"/>
          <w:sz w:val="24"/>
          <w:szCs w:val="24"/>
        </w:rPr>
        <w:t xml:space="preserve"> бути не </w:t>
      </w:r>
      <w:r>
        <w:rPr>
          <w:rFonts w:ascii="Times New Roman" w:hAnsi="Times New Roman" w:cs="Times New Roman"/>
          <w:sz w:val="24"/>
          <w:szCs w:val="24"/>
        </w:rPr>
        <w:t xml:space="preserve">менше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строків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визначених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технічними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умовами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виробника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товарів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складати не менше 12 ти місяців з дати підписання видаткової накладної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Постачальник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повинен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забезпечити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обслуговування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підтримку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протягом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гарантійного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терміну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(надати гарантійний лист).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7. Учаснику у складі пропозиції надати копію сертифікату відповідності та/або декларацію відповідності та/або паспорту на товар.</w:t>
      </w:r>
      <w:r/>
    </w:p>
    <w:p>
      <w:pPr>
        <w:ind w:firstLine="56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Відповідати  вимогам діючого природоохоронного  законодавства, та мати відповідні дозволи.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Товар повинен бути офіційно ввезений на територію України та мати відповідні документи (надати гарантійний лист).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16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eastAsia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</w:r>
      <w:r/>
    </w:p>
    <w:p>
      <w:pPr>
        <w:pStyle w:val="692"/>
        <w:ind w:firstLine="567"/>
        <w:jc w:val="center"/>
        <w:spacing w:after="0" w:line="240" w:lineRule="auto"/>
        <w:rPr>
          <w:rStyle w:val="714"/>
          <w:b/>
          <w:lang w:eastAsia="ru-RU"/>
        </w:rPr>
      </w:pPr>
      <w:r>
        <w:rPr>
          <w:rStyle w:val="714"/>
          <w:b/>
          <w:bCs/>
          <w:lang w:eastAsia="ru-RU"/>
        </w:rPr>
        <w:t xml:space="preserve">СПЕЦИФІКАЦІЯ</w:t>
      </w:r>
      <w:bookmarkEnd w:id="0"/>
      <w:r/>
    </w:p>
    <w:tbl>
      <w:tblPr>
        <w:tblW w:w="99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1677"/>
        <w:gridCol w:w="6802"/>
        <w:gridCol w:w="851"/>
      </w:tblGrid>
      <w:tr>
        <w:trPr>
          <w:trHeight w:val="6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Назва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Характеристики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Кількість,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</w:t>
            </w:r>
            <w:r/>
          </w:p>
        </w:tc>
      </w:tr>
      <w:tr>
        <w:trPr>
          <w:trHeight w:val="645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Автоматизоване робоче місце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 складі: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шт</w:t>
            </w:r>
            <w:r/>
          </w:p>
        </w:tc>
      </w:tr>
      <w:tr>
        <w:trPr>
          <w:trHeight w:val="6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Системний блок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4" w:type="dxa"/>
            <w:vAlign w:val="center"/>
            <w:textDirection w:val="lrTb"/>
            <w:noWrap w:val="false"/>
          </w:tcPr>
          <w:p>
            <w:pPr>
              <w:pStyle w:val="70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гірше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Intel Core i5-11400/Asus PRIME B560M-A/ Patriot DDR4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GB 3200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х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шт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SSD</w:t>
            </w:r>
            <w:r/>
          </w:p>
          <w:p>
            <w:pPr>
              <w:pStyle w:val="707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Kingston 2.5" 480GB SATA A400/ASUS PCE- N15 N300 PCI Express/2E ALFA (E190-3U)/ GIGABYTE P550B (550W) 80+Bronze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гірше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ОС: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uk-UA" w:bidi="uk-UA"/>
              </w:rPr>
              <w:t xml:space="preserve">Windows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uk-UA" w:bidi="uk-UA"/>
              </w:rPr>
              <w:t xml:space="preserve">pro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</w:t>
            </w:r>
            <w:r/>
          </w:p>
        </w:tc>
      </w:tr>
      <w:tr>
        <w:trPr>
          <w:trHeight w:val="6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Монітор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гірше: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Діагональ 23,8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Макс.роздільна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здатність: 1920 x 1080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HD)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матриці: IPS (PLS, AHVA, WVA, UWVA)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Покриття екрану: Матове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Глибина кольору: 16700000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Частота оновлення: 75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відгуку: мс 1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Яскравість: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/м² 250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Контрастність номінал:  1 000 : 1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Кут огляду по вертикалі: град. 178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Кут огляду по горизонталі:  град. 178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Розмір пікселя:  мм 0,275 x 0,275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Підсвічування: WLED (світлодіодне підсвічування) </w:t>
            </w:r>
            <w:r/>
          </w:p>
          <w:p>
            <w:pPr>
              <w:pStyle w:val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Acer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Comfy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View,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Flicker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Free,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Blue Light,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Dimming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ZeroFrame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Ігрові технології: AMD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FreeSync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</w:t>
            </w:r>
            <w:r/>
          </w:p>
        </w:tc>
      </w:tr>
      <w:tr>
        <w:trPr>
          <w:trHeight w:val="6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Клавіатура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4" w:type="dxa"/>
            <w:vAlign w:val="center"/>
            <w:textDirection w:val="lrTb"/>
            <w:noWrap w:val="false"/>
          </w:tcPr>
          <w:p>
            <w:pPr>
              <w:pStyle w:val="707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Тип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клавіатури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Мембранні</w:t>
            </w:r>
            <w:r/>
          </w:p>
          <w:p>
            <w:pPr>
              <w:pStyle w:val="707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Підключення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дротова</w:t>
            </w:r>
            <w:r/>
          </w:p>
          <w:p>
            <w:pPr>
              <w:pStyle w:val="707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Інтерфейс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підключення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не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гірше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USB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гірше: </w:t>
            </w:r>
            <w:r/>
          </w:p>
          <w:p>
            <w:pPr>
              <w:pStyle w:val="707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Формат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Класичні</w:t>
            </w:r>
            <w:r/>
          </w:p>
          <w:p>
            <w:pPr>
              <w:pStyle w:val="707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Кількість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клавішне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менше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Function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Volume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mute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play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pause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backward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forward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)</w:t>
            </w:r>
            <w:r/>
          </w:p>
          <w:p>
            <w:pPr>
              <w:pStyle w:val="707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Фізичні</w:t>
            </w:r>
            <w:r/>
          </w:p>
          <w:p>
            <w:pPr>
              <w:pStyle w:val="707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Колір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чорний</w:t>
            </w:r>
            <w:r/>
          </w:p>
          <w:p>
            <w:pPr>
              <w:pStyle w:val="707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Вага не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більше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503 г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Габарити (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ВxШxГ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) не більше 24.4 x 442 x 127 мм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</w:t>
            </w:r>
            <w:r/>
          </w:p>
        </w:tc>
      </w:tr>
      <w:tr>
        <w:trPr>
          <w:trHeight w:val="6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Миша комп’ютерна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гірше:</w:t>
            </w:r>
            <w:r/>
          </w:p>
          <w:p>
            <w:pPr>
              <w:pStyle w:val="707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Тип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підключення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дротове</w:t>
            </w:r>
            <w:r/>
          </w:p>
          <w:p>
            <w:pPr>
              <w:pStyle w:val="707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Інтерфейс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підключення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ab/>
              <w:t xml:space="preserve">USB</w:t>
            </w:r>
            <w:r/>
          </w:p>
          <w:p>
            <w:pPr>
              <w:pStyle w:val="707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Тип сенсора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оптична</w:t>
            </w:r>
            <w:r/>
          </w:p>
          <w:p>
            <w:pPr>
              <w:pStyle w:val="707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Довжина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проводу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ab/>
              <w:t xml:space="preserve">не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менше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1.8 м</w:t>
            </w:r>
            <w:r/>
          </w:p>
          <w:p>
            <w:pPr>
              <w:pStyle w:val="707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DPI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ab/>
              <w:t xml:space="preserve">не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гірше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1000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dpi</w:t>
            </w:r>
            <w:r/>
          </w:p>
          <w:p>
            <w:pPr>
              <w:pStyle w:val="707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Особливості</w:t>
            </w:r>
            <w:r/>
          </w:p>
          <w:p>
            <w:pPr>
              <w:pStyle w:val="707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Кількість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кнопок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ab/>
              <w:t xml:space="preserve">2</w:t>
            </w:r>
            <w:r/>
          </w:p>
          <w:p>
            <w:pPr>
              <w:pStyle w:val="707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Кількість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коліс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прокрутки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ab/>
              <w:t xml:space="preserve">1</w:t>
            </w:r>
            <w:r/>
          </w:p>
          <w:p>
            <w:pPr>
              <w:pStyle w:val="707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Фізичні</w:t>
            </w:r>
            <w:r/>
          </w:p>
          <w:p>
            <w:pPr>
              <w:pStyle w:val="707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Колір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чорний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Вага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 xml:space="preserve">не більше 413 г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ru-RU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ник пропонує товар, технічні характеристики якого відрізняються від наведених вище, він повинен 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технічними та якісними характеристиками рівноцінними, або покращеними, ніж визначені Замовником.</w:t>
      </w:r>
      <w:r/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358 686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триста п’ятдесят вісім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тисяч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шістсот вісімдесят шість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4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8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12"/>
  </w:num>
  <w:num w:numId="5">
    <w:abstractNumId w:val="4"/>
  </w:num>
  <w:num w:numId="6">
    <w:abstractNumId w:val="15"/>
  </w:num>
  <w:num w:numId="7">
    <w:abstractNumId w:val="7"/>
  </w:num>
  <w:num w:numId="8">
    <w:abstractNumId w:val="17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6"/>
  </w:num>
  <w:num w:numId="17">
    <w:abstractNumId w:val="0"/>
  </w:num>
  <w:num w:numId="18">
    <w:abstractNumId w:val="18"/>
  </w:num>
  <w:num w:numId="19">
    <w:abstractNumId w:val="13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83"/>
    <w:next w:val="683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85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85"/>
    <w:link w:val="68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83"/>
    <w:next w:val="683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85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83"/>
    <w:next w:val="683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85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83"/>
    <w:next w:val="683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85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83"/>
    <w:next w:val="683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85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83"/>
    <w:next w:val="683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85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83"/>
    <w:next w:val="683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85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83"/>
    <w:next w:val="683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85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83"/>
    <w:next w:val="683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85"/>
    <w:link w:val="33"/>
    <w:uiPriority w:val="10"/>
    <w:rPr>
      <w:sz w:val="48"/>
      <w:szCs w:val="48"/>
    </w:rPr>
  </w:style>
  <w:style w:type="paragraph" w:styleId="35">
    <w:name w:val="Subtitle"/>
    <w:basedOn w:val="683"/>
    <w:next w:val="683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85"/>
    <w:link w:val="35"/>
    <w:uiPriority w:val="11"/>
    <w:rPr>
      <w:sz w:val="24"/>
      <w:szCs w:val="24"/>
    </w:rPr>
  </w:style>
  <w:style w:type="paragraph" w:styleId="37">
    <w:name w:val="Quote"/>
    <w:basedOn w:val="683"/>
    <w:next w:val="683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83"/>
    <w:next w:val="683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83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85"/>
    <w:link w:val="41"/>
    <w:uiPriority w:val="99"/>
  </w:style>
  <w:style w:type="character" w:styleId="44">
    <w:name w:val="Footer Char"/>
    <w:basedOn w:val="685"/>
    <w:link w:val="694"/>
    <w:uiPriority w:val="99"/>
  </w:style>
  <w:style w:type="paragraph" w:styleId="45">
    <w:name w:val="Caption"/>
    <w:basedOn w:val="683"/>
    <w:next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94"/>
    <w:uiPriority w:val="99"/>
  </w:style>
  <w:style w:type="table" w:styleId="48">
    <w:name w:val="Table Grid Light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83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85"/>
    <w:uiPriority w:val="99"/>
    <w:unhideWhenUsed/>
    <w:rPr>
      <w:vertAlign w:val="superscript"/>
    </w:rPr>
  </w:style>
  <w:style w:type="paragraph" w:styleId="177">
    <w:name w:val="endnote text"/>
    <w:basedOn w:val="683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85"/>
    <w:uiPriority w:val="99"/>
    <w:semiHidden/>
    <w:unhideWhenUsed/>
    <w:rPr>
      <w:vertAlign w:val="superscript"/>
    </w:rPr>
  </w:style>
  <w:style w:type="paragraph" w:styleId="180">
    <w:name w:val="toc 1"/>
    <w:basedOn w:val="683"/>
    <w:next w:val="683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83"/>
    <w:next w:val="683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83"/>
    <w:next w:val="683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83"/>
    <w:next w:val="683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83"/>
    <w:next w:val="683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83"/>
    <w:next w:val="683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83"/>
    <w:next w:val="683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83"/>
    <w:next w:val="683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83"/>
    <w:next w:val="683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83"/>
    <w:next w:val="683"/>
    <w:uiPriority w:val="99"/>
    <w:unhideWhenUsed/>
    <w:pPr>
      <w:spacing w:after="0" w:afterAutospacing="0"/>
    </w:pPr>
  </w:style>
  <w:style w:type="paragraph" w:styleId="683" w:default="1">
    <w:name w:val="Normal"/>
    <w:qFormat/>
    <w:rPr>
      <w:lang w:val="uk-UA"/>
    </w:rPr>
  </w:style>
  <w:style w:type="paragraph" w:styleId="684">
    <w:name w:val="Heading 2"/>
    <w:basedOn w:val="683"/>
    <w:link w:val="703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paragraph" w:styleId="688">
    <w:name w:val="List Paragraph"/>
    <w:basedOn w:val="683"/>
    <w:link w:val="68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89" w:customStyle="1">
    <w:name w:val="Абзац списку Знак"/>
    <w:link w:val="688"/>
    <w:uiPriority w:val="34"/>
    <w:rPr>
      <w:rFonts w:ascii="Calibri" w:hAnsi="Calibri" w:eastAsia="Calibri" w:cs="Calibri"/>
      <w:lang w:eastAsia="zh-CN"/>
    </w:rPr>
  </w:style>
  <w:style w:type="table" w:styleId="690">
    <w:name w:val="Table Grid"/>
    <w:basedOn w:val="68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1" w:customStyle="1">
    <w:name w:val="Сетка таблицы2"/>
    <w:basedOn w:val="686"/>
    <w:next w:val="690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2">
    <w:name w:val="Normal (Web)"/>
    <w:basedOn w:val="683"/>
    <w:link w:val="699"/>
    <w:unhideWhenUsed/>
    <w:qFormat/>
    <w:rPr>
      <w:rFonts w:ascii="Times New Roman" w:hAnsi="Times New Roman" w:cs="Times New Roman"/>
      <w:sz w:val="24"/>
      <w:szCs w:val="24"/>
    </w:rPr>
  </w:style>
  <w:style w:type="table" w:styleId="693" w:customStyle="1">
    <w:name w:val="Сетка таблицы1"/>
    <w:basedOn w:val="686"/>
    <w:next w:val="690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4">
    <w:name w:val="Footer"/>
    <w:basedOn w:val="683"/>
    <w:link w:val="695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95" w:customStyle="1">
    <w:name w:val="Нижній колонтитул Знак"/>
    <w:basedOn w:val="685"/>
    <w:link w:val="694"/>
    <w:uiPriority w:val="99"/>
    <w:rPr>
      <w:rFonts w:ascii="Calibri" w:hAnsi="Calibri" w:eastAsia="Calibri" w:cs="Calibri"/>
      <w:lang w:eastAsia="zh-CN"/>
    </w:rPr>
  </w:style>
  <w:style w:type="paragraph" w:styleId="696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7">
    <w:name w:val="Hyperlink"/>
    <w:basedOn w:val="685"/>
    <w:uiPriority w:val="99"/>
    <w:unhideWhenUsed/>
    <w:rPr>
      <w:color w:val="0563c1" w:themeColor="hyperlink"/>
      <w:u w:val="single"/>
    </w:rPr>
  </w:style>
  <w:style w:type="character" w:styleId="698" w:customStyle="1">
    <w:name w:val="xfm_93972720"/>
    <w:basedOn w:val="685"/>
  </w:style>
  <w:style w:type="character" w:styleId="699" w:customStyle="1">
    <w:name w:val="Звичайний (веб) Знак"/>
    <w:link w:val="692"/>
    <w:qFormat/>
    <w:rPr>
      <w:rFonts w:ascii="Times New Roman" w:hAnsi="Times New Roman" w:cs="Times New Roman"/>
      <w:sz w:val="24"/>
      <w:szCs w:val="24"/>
      <w:lang w:val="uk-UA"/>
    </w:rPr>
  </w:style>
  <w:style w:type="paragraph" w:styleId="700">
    <w:name w:val="Body Text 2"/>
    <w:basedOn w:val="683"/>
    <w:link w:val="701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01" w:customStyle="1">
    <w:name w:val="Основний текст 2 Знак"/>
    <w:basedOn w:val="685"/>
    <w:link w:val="70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2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03" w:customStyle="1">
    <w:name w:val="Заголовок 2 Знак"/>
    <w:basedOn w:val="685"/>
    <w:link w:val="684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04">
    <w:name w:val="No Spacing"/>
    <w:link w:val="705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05" w:customStyle="1">
    <w:name w:val="Без інтервалів Знак"/>
    <w:basedOn w:val="685"/>
    <w:link w:val="704"/>
    <w:uiPriority w:val="1"/>
    <w:rPr>
      <w:rFonts w:ascii="Calibri" w:hAnsi="Calibri" w:eastAsia="Calibri" w:cs="Times New Roman"/>
      <w:lang w:val="uk-UA"/>
    </w:rPr>
  </w:style>
  <w:style w:type="character" w:styleId="706" w:customStyle="1">
    <w:name w:val="Другое_"/>
    <w:basedOn w:val="685"/>
    <w:link w:val="707"/>
    <w:rPr>
      <w:rFonts w:ascii="Calibri" w:hAnsi="Calibri" w:eastAsia="Calibri" w:cs="Calibri"/>
      <w:sz w:val="20"/>
      <w:szCs w:val="20"/>
    </w:rPr>
  </w:style>
  <w:style w:type="paragraph" w:styleId="707" w:customStyle="1">
    <w:name w:val="Другое"/>
    <w:basedOn w:val="683"/>
    <w:link w:val="706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08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09" w:customStyle="1">
    <w:name w:val="Основной текст (2)_"/>
    <w:basedOn w:val="685"/>
    <w:link w:val="710"/>
    <w:rPr>
      <w:rFonts w:eastAsia="Times New Roman" w:cs="Times New Roman"/>
      <w:shd w:val="clear" w:color="auto" w:fill="ffffff"/>
    </w:rPr>
  </w:style>
  <w:style w:type="paragraph" w:styleId="710" w:customStyle="1">
    <w:name w:val="Основной текст (2)"/>
    <w:basedOn w:val="683"/>
    <w:link w:val="709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11" w:customStyle="1">
    <w:name w:val="Текст у виносці Знак"/>
    <w:basedOn w:val="685"/>
    <w:link w:val="71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12">
    <w:name w:val="Balloon Text"/>
    <w:basedOn w:val="683"/>
    <w:link w:val="711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13" w:customStyle="1">
    <w:name w:val="Текст у виносці Знак1"/>
    <w:basedOn w:val="685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14" w:customStyle="1">
    <w:name w:val="T23"/>
    <w:rPr>
      <w:rFonts w:hint="default" w:ascii="Times New Roman" w:hAnsi="Times New Roman" w:eastAsia="Times New Roman1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131</cp:revision>
  <dcterms:created xsi:type="dcterms:W3CDTF">2022-11-01T12:47:00Z</dcterms:created>
  <dcterms:modified xsi:type="dcterms:W3CDTF">2023-08-08T17:58:17Z</dcterms:modified>
</cp:coreProperties>
</file>