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06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Дизельне паливо в талонах за кодом CPV за ЄЗС ДК 021:2015: 09130000-9 «Нафта і дистиляти»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10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</w:t>
      </w:r>
      <w:r>
        <w:rPr>
          <w:rFonts w:ascii="Times New Roman" w:hAnsi="Times New Roman" w:cs="Times New Roman"/>
          <w:sz w:val="24"/>
          <w:szCs w:val="24"/>
        </w:rPr>
        <w:t xml:space="preserve">2986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 </w:t>
      </w:r>
      <w:bookmarkStart w:id="0" w:name="_Hlk133583335"/>
      <w:r>
        <w:rPr>
          <w:rFonts w:ascii="Times New Roman" w:hAnsi="Times New Roman" w:cs="Times New Roman"/>
          <w:sz w:val="24"/>
          <w:szCs w:val="24"/>
        </w:rPr>
        <w:t xml:space="preserve">Дизельне паливо в талонах за кодом CPV за ЄЗС ДК 021:2015: 09130000-9 «Нафта і дистиляти»</w:t>
      </w:r>
      <w:r/>
    </w:p>
    <w:p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bookmarkEnd w:id="0"/>
      <w:r/>
    </w:p>
    <w:p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ІНФОРМАЦІЯ ПРО НЕОБХІДНІ ТЕХНІЧНІ, ЯКІСНІ ТА КІЛЬКІСНІ ХАРАКТЕРИСТИКИ ПРЕДМЕТА ЗАКУПІВЛІ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Дизельне паливо в талонах за кодом CPV за ЄЗС ДК 021:2015: 09130000-9 «Нафта і дистиляти»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W w:w="9781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1418"/>
        <w:gridCol w:w="992"/>
        <w:gridCol w:w="4394"/>
      </w:tblGrid>
      <w:tr>
        <w:trPr>
          <w:trHeight w:val="716"/>
        </w:trPr>
        <w:tc>
          <w:tcPr>
            <w:tcW w:w="426" w:type="dxa"/>
            <w:vAlign w:val="center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</w:t>
            </w:r>
            <w:r/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  <w:tc>
          <w:tcPr>
            <w:tcW w:w="43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Відповідність ДСТУ</w:t>
            </w:r>
            <w:r/>
          </w:p>
        </w:tc>
      </w:tr>
      <w:tr>
        <w:trPr>
          <w:trHeight w:val="480"/>
        </w:trPr>
        <w:tc>
          <w:tcPr>
            <w:tcW w:w="426" w:type="dxa"/>
            <w:vAlign w:val="center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Дизельне паливо в талонах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1 240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ДСТУ 3868-99 та/або ДСТУ 4840:2007 та/або ДСТУ 7688:2015</w:t>
            </w:r>
            <w:r/>
          </w:p>
        </w:tc>
      </w:tr>
      <w:tr>
        <w:trPr>
          <w:trHeight w:val="102"/>
        </w:trPr>
        <w:tc>
          <w:tcPr>
            <w:gridSpan w:val="5"/>
            <w:tcW w:w="9781" w:type="dxa"/>
            <w:vAlign w:val="center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Талони номіналом 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uk-UA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uk-UA"/>
        </w:rPr>
        <w:t xml:space="preserve">Технічні та якісні характеристики предмета закупівлі (пропонованого Учаснико</w:t>
      </w:r>
      <w:r>
        <w:rPr>
          <w:rFonts w:ascii="Times New Roman" w:hAnsi="Times New Roman" w:cs="Times New Roman"/>
          <w:b/>
          <w:i/>
          <w:sz w:val="24"/>
          <w:szCs w:val="24"/>
          <w:lang w:eastAsia="uk-UA"/>
        </w:rPr>
        <w:t xml:space="preserve">м товару) повинні відповідати вимогам діючого законодавства України, у тому числі Технічного регламенту щодо вимог до автомобільних бензинів, дизельного, суднових та котельних палив, затвердженого постановою Кабінету Міністрів України від 01.08.2013 № 927.</w:t>
      </w:r>
      <w:r/>
    </w:p>
    <w:p>
      <w:pPr>
        <w:jc w:val="both"/>
        <w:rPr>
          <w:b/>
          <w:i/>
          <w:sz w:val="24"/>
          <w:szCs w:val="24"/>
          <w:lang w:eastAsia="uk-UA"/>
        </w:rPr>
      </w:pPr>
      <w:r>
        <w:rPr>
          <w:b/>
          <w:i/>
          <w:sz w:val="24"/>
          <w:szCs w:val="24"/>
          <w:lang w:eastAsia="uk-UA"/>
        </w:rPr>
      </w:r>
      <w:r/>
    </w:p>
    <w:p>
      <w:pPr>
        <w:pStyle w:val="741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 xml:space="preserve">Код ДК 021:2015: 09130000-9 «Нафта і дистиляти» ( дизельне паливо).</w:t>
      </w:r>
      <w:r/>
    </w:p>
    <w:p>
      <w:pPr>
        <w:pStyle w:val="741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 xml:space="preserve">Термін поставки – протягом дії договору.</w:t>
      </w:r>
      <w:r/>
    </w:p>
    <w:p>
      <w:pPr>
        <w:pStyle w:val="741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 xml:space="preserve">Технічні та якісні вимоги до Товару повинні відповідати Технічному регламенту щодо вимог до автомобільних бензинів, суднових та котельних палив, затвердженого ПКМУ від 01.08.2013 року № 927.</w:t>
      </w:r>
      <w:r/>
    </w:p>
    <w:p>
      <w:pPr>
        <w:pStyle w:val="741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 xml:space="preserve">Дизельне паливо повинно відповідати температурному режиму експлуатації транспортних засобів в регіонах України. В зимовий період дизельне паливо повинне відповідати температурному режиму і бути не менше -35°C.  </w:t>
      </w:r>
      <w:r/>
    </w:p>
    <w:p>
      <w:pPr>
        <w:pStyle w:val="741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 xml:space="preserve">Відпуск Товару Замовнику здійснюється цілодобово по довірчим документам (талонам/паливним карткам) на АЗС Постачальника в м. Києві, Київській області та в кожній області України за виключенням окупованих територій.</w:t>
      </w:r>
      <w:r/>
    </w:p>
    <w:p>
      <w:pPr>
        <w:pStyle w:val="741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 xml:space="preserve">Талони/паливні картки - повинні бути універсальні пластикові або картонні (паперові) картки з вбудованим в неї </w:t>
      </w:r>
      <w:r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 xml:space="preserve">мікрочіпом</w:t>
      </w:r>
      <w:r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 xml:space="preserve"> або системою цифрового захисту, що дозволяє здійснити ідентифікацію Покупця та провести заправку транспортного засобу нафтопродуктами певного виду палива.</w:t>
      </w:r>
      <w:r/>
    </w:p>
    <w:p>
      <w:pPr>
        <w:pStyle w:val="741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 xml:space="preserve">Учасник повинен надати:</w:t>
      </w:r>
      <w:r/>
    </w:p>
    <w:p>
      <w:pPr>
        <w:pStyle w:val="741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 xml:space="preserve">1. Гарантійний лист щодо надання копій сертифікату (паспорту) якості, копія декларації про відповідність або інший документ, який підтверджує якість Товару, що буде поставлятись Учасником. </w:t>
      </w:r>
      <w:r/>
    </w:p>
    <w:p>
      <w:pPr>
        <w:pStyle w:val="741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 xml:space="preserve">2. Довідку (в довільній формі) про дійсність довірчих документів (талонів/паливних карток) на території м. Києві, Київській області та обов’язкова наявність АЗС в кожній області України за виключенням окупованих територій.</w:t>
      </w:r>
      <w:r/>
    </w:p>
    <w:p>
      <w:pPr>
        <w:pStyle w:val="741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 xml:space="preserve">3. У разі наявності партнерських АЗС, Учасник процедури закупівлі повинен надати в складі пропозиції документальне підтвердження права користування автозаправними станціями інших власників:</w:t>
      </w:r>
      <w:r/>
    </w:p>
    <w:p>
      <w:pPr>
        <w:pStyle w:val="741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 xml:space="preserve"> - </w:t>
      </w:r>
      <w:r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 xml:space="preserve">копії Договорів з операторами (ліцензіатами)  партнерських АЗС, орендованих АЗС, які повинні бути чинними впродовж строку поставки предмета закупівлі, та/або копія документу, який підтверджує діяльність операторів АЗС  відповідно до чинного законодавства. </w:t>
      </w:r>
      <w:r/>
    </w:p>
    <w:p>
      <w:pPr>
        <w:pStyle w:val="741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 xml:space="preserve"> - гарантійний лист від власника/орендаря/оператора(ліцензіата) партнерських АЗС, орендованих АЗС, адресований Учаснику, про гарантування заправок автотранспорту за довірчими документами (талонами/паливними картками) встановленого зразка на АЗС.</w:t>
      </w:r>
      <w:r/>
    </w:p>
    <w:p>
      <w:pPr>
        <w:pStyle w:val="741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 xml:space="preserve">4. Лист - підтвердження (в довільній формі) від Учасника щодо знаходження не</w:t>
      </w:r>
      <w:r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 xml:space="preserve"> менше однієї власної або партне</w:t>
      </w:r>
      <w:r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 xml:space="preserve">рської АЗС від місця розташування Замовника від вул. Молодогвардійська 28  на відстані не більше 3 км з обов’язковим зазначенням адреси розташування перелічених АЗС. </w:t>
      </w:r>
      <w:r/>
    </w:p>
    <w:p>
      <w:pPr>
        <w:pStyle w:val="741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 xml:space="preserve">5.  Довідку (у довільній формі), якою Учасник гарантує, що Това</w:t>
      </w:r>
      <w:r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 xml:space="preserve">р є таким, що не має негативного впливу на навколишнє довкілля та передбачає застосування необхідних заходів із захисту довкілля, тобто учасник гарантує, що технічні, якісні характеристики предмета закупівлі відповідають встановленим законодавством нормам.</w:t>
      </w:r>
      <w:r/>
    </w:p>
    <w:p>
      <w:pPr>
        <w:pStyle w:val="741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 xml:space="preserve">6. Чинний дозвіл або ліцензія на провадження відповідної господарської діяльності, або довідку в довільній формі із підтвердженням наявності в учасник</w:t>
      </w:r>
      <w:r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 xml:space="preserve">а відповідної ліцензії з посиланням на відкритий реєстр який містить таку інформацію, якщо отримання такого дозволу або ліцензії на провадження такого виду діяльності передбачено законодавством. Якщо не передбачено, надати довідку про це в довільній формі.</w:t>
      </w:r>
      <w:r/>
    </w:p>
    <w:p>
      <w:pPr>
        <w:pStyle w:val="741"/>
        <w:jc w:val="both"/>
        <w:spacing w:line="240" w:lineRule="auto"/>
        <w:rPr>
          <w:sz w:val="24"/>
          <w:szCs w:val="24"/>
          <w:lang w:val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 xml:space="preserve">7. У складі пропозиції надає копію оригіналу документу (с</w:t>
      </w:r>
      <w:r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 xml:space="preserve">ертифікат тощо), який підтверджує впровадження системи управління якістю в Учасника, як суб’єкта господарювання – юридичної особи стосовно торгівлі (оптової чи роздрібної) пальним (паливом), виданий акредитованим уповноваженим органом у сфері сертифікації.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71 825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сімдесят одна тисяча вісімсот двадцять п’ять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1" w:hanging="375"/>
        <w:tabs>
          <w:tab w:val="num" w:pos="566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Calibri" w:hAnsi="Calibri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5"/>
  </w:num>
  <w:num w:numId="2">
    <w:abstractNumId w:val="14"/>
  </w:num>
  <w:num w:numId="3">
    <w:abstractNumId w:val="6"/>
  </w:num>
  <w:num w:numId="4">
    <w:abstractNumId w:val="20"/>
  </w:num>
  <w:num w:numId="5">
    <w:abstractNumId w:val="5"/>
  </w:num>
  <w:num w:numId="6">
    <w:abstractNumId w:val="26"/>
  </w:num>
  <w:num w:numId="7">
    <w:abstractNumId w:val="9"/>
  </w:num>
  <w:num w:numId="8">
    <w:abstractNumId w:val="28"/>
  </w:num>
  <w:num w:numId="9">
    <w:abstractNumId w:val="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  <w:num w:numId="13">
    <w:abstractNumId w:val="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7"/>
  </w:num>
  <w:num w:numId="17">
    <w:abstractNumId w:val="0"/>
  </w:num>
  <w:num w:numId="18">
    <w:abstractNumId w:val="29"/>
  </w:num>
  <w:num w:numId="19">
    <w:abstractNumId w:val="21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2"/>
  </w:num>
  <w:num w:numId="25">
    <w:abstractNumId w:val="15"/>
  </w:num>
  <w:num w:numId="26">
    <w:abstractNumId w:val="18"/>
  </w:num>
  <w:num w:numId="27">
    <w:abstractNumId w:val="23"/>
  </w:num>
  <w:num w:numId="28">
    <w:abstractNumId w:val="16"/>
  </w:num>
  <w:num w:numId="29">
    <w:abstractNumId w:val="24"/>
  </w:num>
  <w:num w:numId="30">
    <w:abstractNumId w:val="13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05"/>
    <w:next w:val="705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07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07"/>
    <w:link w:val="706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05"/>
    <w:next w:val="705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0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05"/>
    <w:next w:val="705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0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05"/>
    <w:next w:val="705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0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05"/>
    <w:next w:val="705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0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05"/>
    <w:next w:val="70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0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05"/>
    <w:next w:val="70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0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05"/>
    <w:next w:val="70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0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05"/>
    <w:next w:val="705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07"/>
    <w:link w:val="33"/>
    <w:uiPriority w:val="10"/>
    <w:rPr>
      <w:sz w:val="48"/>
      <w:szCs w:val="48"/>
    </w:rPr>
  </w:style>
  <w:style w:type="paragraph" w:styleId="35">
    <w:name w:val="Subtitle"/>
    <w:basedOn w:val="705"/>
    <w:next w:val="705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07"/>
    <w:link w:val="35"/>
    <w:uiPriority w:val="11"/>
    <w:rPr>
      <w:sz w:val="24"/>
      <w:szCs w:val="24"/>
    </w:rPr>
  </w:style>
  <w:style w:type="paragraph" w:styleId="37">
    <w:name w:val="Quote"/>
    <w:basedOn w:val="705"/>
    <w:next w:val="70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05"/>
    <w:next w:val="70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705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707"/>
    <w:link w:val="41"/>
    <w:uiPriority w:val="99"/>
  </w:style>
  <w:style w:type="character" w:styleId="44">
    <w:name w:val="Footer Char"/>
    <w:basedOn w:val="707"/>
    <w:link w:val="716"/>
    <w:uiPriority w:val="99"/>
  </w:style>
  <w:style w:type="paragraph" w:styleId="45">
    <w:name w:val="Caption"/>
    <w:basedOn w:val="705"/>
    <w:next w:val="7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16"/>
    <w:uiPriority w:val="99"/>
  </w:style>
  <w:style w:type="table" w:styleId="48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0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07"/>
    <w:uiPriority w:val="99"/>
    <w:unhideWhenUsed/>
    <w:rPr>
      <w:vertAlign w:val="superscript"/>
    </w:rPr>
  </w:style>
  <w:style w:type="paragraph" w:styleId="177">
    <w:name w:val="endnote text"/>
    <w:basedOn w:val="70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07"/>
    <w:uiPriority w:val="99"/>
    <w:semiHidden/>
    <w:unhideWhenUsed/>
    <w:rPr>
      <w:vertAlign w:val="superscript"/>
    </w:rPr>
  </w:style>
  <w:style w:type="paragraph" w:styleId="180">
    <w:name w:val="toc 1"/>
    <w:basedOn w:val="705"/>
    <w:next w:val="70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05"/>
    <w:next w:val="70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05"/>
    <w:next w:val="70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05"/>
    <w:next w:val="70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05"/>
    <w:next w:val="70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05"/>
    <w:next w:val="70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05"/>
    <w:next w:val="70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05"/>
    <w:next w:val="70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05"/>
    <w:next w:val="70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05"/>
    <w:next w:val="705"/>
    <w:uiPriority w:val="99"/>
    <w:unhideWhenUsed/>
    <w:pPr>
      <w:spacing w:after="0" w:afterAutospacing="0"/>
    </w:pPr>
  </w:style>
  <w:style w:type="paragraph" w:styleId="705" w:default="1">
    <w:name w:val="Normal"/>
    <w:qFormat/>
    <w:rPr>
      <w:lang w:val="uk-UA"/>
    </w:rPr>
  </w:style>
  <w:style w:type="paragraph" w:styleId="706">
    <w:name w:val="Heading 2"/>
    <w:basedOn w:val="705"/>
    <w:link w:val="725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paragraph" w:styleId="710">
    <w:name w:val="List Paragraph"/>
    <w:basedOn w:val="705"/>
    <w:link w:val="71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11" w:customStyle="1">
    <w:name w:val="Абзац списку Знак"/>
    <w:link w:val="710"/>
    <w:uiPriority w:val="34"/>
    <w:qFormat/>
    <w:rPr>
      <w:rFonts w:ascii="Calibri" w:hAnsi="Calibri" w:eastAsia="Calibri" w:cs="Calibri"/>
      <w:lang w:eastAsia="zh-CN"/>
    </w:rPr>
  </w:style>
  <w:style w:type="table" w:styleId="712">
    <w:name w:val="Table Grid"/>
    <w:basedOn w:val="70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3" w:customStyle="1">
    <w:name w:val="Сетка таблицы2"/>
    <w:basedOn w:val="708"/>
    <w:next w:val="712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4">
    <w:name w:val="Normal (Web)"/>
    <w:basedOn w:val="705"/>
    <w:link w:val="721"/>
    <w:uiPriority w:val="99"/>
    <w:unhideWhenUsed/>
    <w:qFormat/>
    <w:rPr>
      <w:rFonts w:ascii="Times New Roman" w:hAnsi="Times New Roman" w:cs="Times New Roman"/>
      <w:sz w:val="24"/>
      <w:szCs w:val="24"/>
    </w:rPr>
  </w:style>
  <w:style w:type="table" w:styleId="715" w:customStyle="1">
    <w:name w:val="Сетка таблицы1"/>
    <w:basedOn w:val="708"/>
    <w:next w:val="712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6">
    <w:name w:val="Footer"/>
    <w:basedOn w:val="705"/>
    <w:link w:val="717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17" w:customStyle="1">
    <w:name w:val="Нижній колонтитул Знак"/>
    <w:basedOn w:val="707"/>
    <w:link w:val="716"/>
    <w:uiPriority w:val="99"/>
    <w:rPr>
      <w:rFonts w:ascii="Calibri" w:hAnsi="Calibri" w:eastAsia="Calibri" w:cs="Calibri"/>
      <w:lang w:eastAsia="zh-CN"/>
    </w:rPr>
  </w:style>
  <w:style w:type="paragraph" w:styleId="718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19">
    <w:name w:val="Hyperlink"/>
    <w:basedOn w:val="707"/>
    <w:uiPriority w:val="99"/>
    <w:unhideWhenUsed/>
    <w:rPr>
      <w:color w:val="0563c1" w:themeColor="hyperlink"/>
      <w:u w:val="single"/>
    </w:rPr>
  </w:style>
  <w:style w:type="character" w:styleId="720" w:customStyle="1">
    <w:name w:val="xfm_93972720"/>
    <w:basedOn w:val="707"/>
  </w:style>
  <w:style w:type="character" w:styleId="721" w:customStyle="1">
    <w:name w:val="Звичайний (веб) Знак"/>
    <w:link w:val="714"/>
    <w:uiPriority w:val="99"/>
    <w:qFormat/>
    <w:rPr>
      <w:rFonts w:ascii="Times New Roman" w:hAnsi="Times New Roman" w:cs="Times New Roman"/>
      <w:sz w:val="24"/>
      <w:szCs w:val="24"/>
      <w:lang w:val="uk-UA"/>
    </w:rPr>
  </w:style>
  <w:style w:type="paragraph" w:styleId="722">
    <w:name w:val="Body Text 2"/>
    <w:basedOn w:val="705"/>
    <w:link w:val="723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23" w:customStyle="1">
    <w:name w:val="Основний текст 2 Знак"/>
    <w:basedOn w:val="707"/>
    <w:link w:val="722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24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25" w:customStyle="1">
    <w:name w:val="Заголовок 2 Знак"/>
    <w:basedOn w:val="707"/>
    <w:link w:val="706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26">
    <w:name w:val="No Spacing"/>
    <w:link w:val="727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27" w:customStyle="1">
    <w:name w:val="Без інтервалів Знак"/>
    <w:basedOn w:val="707"/>
    <w:link w:val="726"/>
    <w:uiPriority w:val="1"/>
    <w:rPr>
      <w:rFonts w:ascii="Calibri" w:hAnsi="Calibri" w:eastAsia="Calibri" w:cs="Times New Roman"/>
      <w:lang w:val="uk-UA"/>
    </w:rPr>
  </w:style>
  <w:style w:type="character" w:styleId="728" w:customStyle="1">
    <w:name w:val="Другое_"/>
    <w:basedOn w:val="707"/>
    <w:link w:val="729"/>
    <w:rPr>
      <w:rFonts w:ascii="Calibri" w:hAnsi="Calibri" w:eastAsia="Calibri" w:cs="Calibri"/>
      <w:sz w:val="20"/>
      <w:szCs w:val="20"/>
    </w:rPr>
  </w:style>
  <w:style w:type="paragraph" w:styleId="729" w:customStyle="1">
    <w:name w:val="Другое"/>
    <w:basedOn w:val="705"/>
    <w:link w:val="728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30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31" w:customStyle="1">
    <w:name w:val="Основной текст (2)_"/>
    <w:basedOn w:val="707"/>
    <w:link w:val="732"/>
    <w:rPr>
      <w:rFonts w:eastAsia="Times New Roman" w:cs="Times New Roman"/>
      <w:shd w:val="clear" w:color="auto" w:fill="ffffff"/>
    </w:rPr>
  </w:style>
  <w:style w:type="paragraph" w:styleId="732" w:customStyle="1">
    <w:name w:val="Основной текст (2)"/>
    <w:basedOn w:val="705"/>
    <w:link w:val="731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33" w:customStyle="1">
    <w:name w:val="Текст у виносці Знак"/>
    <w:basedOn w:val="707"/>
    <w:link w:val="73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34">
    <w:name w:val="Balloon Text"/>
    <w:basedOn w:val="705"/>
    <w:link w:val="733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35" w:customStyle="1">
    <w:name w:val="Текст у виносці Знак1"/>
    <w:basedOn w:val="707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36" w:customStyle="1">
    <w:name w:val="T23"/>
    <w:rPr>
      <w:rFonts w:hint="default" w:ascii="Times New Roman" w:hAnsi="Times New Roman" w:eastAsia="Times New Roman1" w:cs="Times New Roman"/>
    </w:rPr>
  </w:style>
  <w:style w:type="paragraph" w:styleId="737" w:customStyle="1">
    <w:name w:val="Абзац списку1"/>
    <w:basedOn w:val="705"/>
    <w:uiPriority w:val="99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  <w:style w:type="character" w:styleId="738" w:customStyle="1">
    <w:name w:val="markedcontent"/>
    <w:basedOn w:val="707"/>
  </w:style>
  <w:style w:type="paragraph" w:styleId="739">
    <w:name w:val="annotation text"/>
    <w:basedOn w:val="705"/>
    <w:link w:val="740"/>
    <w:uiPriority w:val="99"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40" w:customStyle="1">
    <w:name w:val="Текст примітки Знак"/>
    <w:basedOn w:val="707"/>
    <w:link w:val="739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41" w:customStyle="1">
    <w:name w:val="Обычный1"/>
    <w:pPr>
      <w:spacing w:after="0" w:line="276" w:lineRule="auto"/>
    </w:pPr>
    <w:rPr>
      <w:rFonts w:ascii="Arial" w:hAnsi="Arial" w:eastAsia="Times New Roman" w:cs="Arial"/>
      <w:color w:val="00000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146</cp:revision>
  <dcterms:created xsi:type="dcterms:W3CDTF">2022-11-01T12:47:00Z</dcterms:created>
  <dcterms:modified xsi:type="dcterms:W3CDTF">2023-11-12T20:47:35Z</dcterms:modified>
</cp:coreProperties>
</file>