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pStyle w:val="707"/>
        <w:jc w:val="both"/>
        <w:spacing w:after="0"/>
        <w:shd w:val="clear" w:color="auto" w:fill="ffffff" w:themeFill="background1"/>
        <w:rPr>
          <w:b w:val="0"/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Закупівля паперових рушників та туалетного паперу</w:t>
      </w:r>
      <w:r>
        <w:rPr>
          <w:b w:val="0"/>
          <w:sz w:val="24"/>
          <w:szCs w:val="24"/>
        </w:rPr>
        <w:t xml:space="preserve"> за кодом CPV за ЄЗС ДК 021:2015: 33760000-5 Туалетний папір, носові хустинки, рушники для рук і серветки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UA-2023-11-01-005246-a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bookmarkStart w:id="0" w:name="_Hlk133583335"/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паперових рушників та туалетного паперу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.</w:t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 ВИМОГИ</w:t>
      </w:r>
      <w:r/>
    </w:p>
    <w:tbl>
      <w:tblPr>
        <w:tblStyle w:val="71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Паперові рушники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пач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130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Туалетний папір білий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рул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uk-UA"/>
              </w:rPr>
              <w:t xml:space="preserve">700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інфляційним</w:t>
      </w:r>
      <w:r>
        <w:rPr>
          <w:rFonts w:ascii="Times New Roman" w:hAnsi="Times New Roman" w:eastAsia="Times New Roman" w:cs="Times New Roman"/>
          <w:b/>
          <w:bCs/>
          <w:i/>
          <w:iCs/>
          <w:sz w:val="24"/>
          <w:szCs w:val="24"/>
          <w:lang w:eastAsia="ru-RU"/>
        </w:rPr>
        <w:t xml:space="preserve">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 (характеристики будуть порівнюватися із характеристиками на зазначений товар в Специфікації).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5. Учаснику необхідно зазначити конкретну назву, марку, модель Товару, що пропонується для визначення замовником технічних характеристик Товару, що пропонується Учасником.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/>
      <w:bookmarkStart w:id="1" w:name="_Hlk134167948"/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</w:t>
      </w:r>
      <w:bookmarkStart w:id="2" w:name="_Hlk134167935"/>
      <w:r>
        <w:rPr>
          <w:rFonts w:ascii="Times New Roman" w:hAnsi="Times New Roman" w:cs="Times New Roman"/>
          <w:bCs/>
          <w:iCs/>
          <w:sz w:val="24"/>
          <w:szCs w:val="24"/>
        </w:rPr>
        <w:t xml:space="preserve">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ідно з якими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bookmarkEnd w:id="1"/>
      <w:bookmarkEnd w:id="2"/>
      <w:r/>
    </w:p>
    <w:p>
      <w:pPr>
        <w:contextualSpacing/>
        <w:ind w:firstLine="567"/>
        <w:jc w:val="center"/>
        <w:spacing w:after="200" w:line="240" w:lineRule="auto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:lang w:eastAsia="zh-CN"/>
        </w:rPr>
        <w:t xml:space="preserve">СПЕЦИФІКАЦІЯ:</w:t>
      </w:r>
      <w:r/>
    </w:p>
    <w:p>
      <w:pPr>
        <w:contextualSpacing/>
        <w:ind w:firstLine="567"/>
        <w:jc w:val="center"/>
        <w:spacing w:after="200" w:line="240" w:lineRule="auto"/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bCs/>
          <w:color w:val="000000" w:themeColor="text1"/>
          <w:sz w:val="24"/>
          <w:szCs w:val="24"/>
          <w:lang w:eastAsia="zh-CN"/>
        </w:rPr>
      </w:r>
      <w:r/>
    </w:p>
    <w:tbl>
      <w:tblPr>
        <w:tblStyle w:val="713"/>
        <w:tblW w:w="9634" w:type="dxa"/>
        <w:tblLook w:val="04A0" w:firstRow="1" w:lastRow="0" w:firstColumn="1" w:lastColumn="0" w:noHBand="0" w:noVBand="1"/>
      </w:tblPr>
      <w:tblGrid>
        <w:gridCol w:w="455"/>
        <w:gridCol w:w="6567"/>
        <w:gridCol w:w="1208"/>
        <w:gridCol w:w="1404"/>
      </w:tblGrid>
      <w:tr>
        <w:trPr/>
        <w:tc>
          <w:tcPr>
            <w:tcW w:w="45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3" w:name="_Hlk134167923"/>
            <w:r/>
            <w:r/>
          </w:p>
        </w:tc>
        <w:tc>
          <w:tcPr>
            <w:tcW w:w="6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Паперові рушники 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пач</w:t>
            </w:r>
            <w:r>
              <w:rPr>
                <w:rFonts w:ascii="Times New Roman" w:hAnsi="Times New Roman" w:cs="Times New Roman"/>
                <w:b/>
              </w:rPr>
              <w:t xml:space="preserve">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130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Паперові рушники, колір – білий, кількість шарів – 2, кількість листів у пачці– 200 шт., складання – Z, матеріал – 100 % целюлоза, розміри – не менше ніж 22,5 х 21 см., щільність паперу – не менше ніж 16 г/м²,без запаху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Туалетний папір білий</w:t>
            </w:r>
            <w:r>
              <w:t xml:space="preserve"> 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рул</w:t>
            </w:r>
            <w:r>
              <w:rPr>
                <w:rFonts w:ascii="Times New Roman" w:hAnsi="Times New Roman" w:cs="Times New Roman"/>
                <w:b/>
              </w:rPr>
              <w:t xml:space="preserve">.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700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Туалетний папір, колір – білий, кількість шарів – 3, кількість листів/відривів – 140, матеріал – 100 % целюлоза, щільність паперу  – більше 15 г/м², перфорація – по 12 см., ширина – не менше 9,3 см., довжина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рулона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не менше 16,8 м., без запаху</w:t>
            </w:r>
            <w:bookmarkEnd w:id="3"/>
            <w:r/>
          </w:p>
        </w:tc>
      </w:tr>
    </w:tbl>
    <w:p>
      <w:pPr>
        <w:ind w:firstLine="567"/>
        <w:jc w:val="both"/>
        <w:spacing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18 073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вісімнадцять тисяч сімдесят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/>
      <w:bookmarkStart w:id="4" w:name="_GoBack"/>
      <w:r/>
      <w:bookmarkEnd w:id="4"/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08"/>
    <w:link w:val="706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8"/>
    <w:link w:val="707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8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8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8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8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8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8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8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8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8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8"/>
    <w:link w:val="41"/>
    <w:uiPriority w:val="99"/>
  </w:style>
  <w:style w:type="character" w:styleId="44">
    <w:name w:val="Footer Char"/>
    <w:basedOn w:val="708"/>
    <w:link w:val="717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7"/>
    <w:uiPriority w:val="99"/>
  </w:style>
  <w:style w:type="table" w:styleId="48">
    <w:name w:val="Table Grid Light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8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8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1"/>
    <w:basedOn w:val="705"/>
    <w:next w:val="705"/>
    <w:link w:val="74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07">
    <w:name w:val="Heading 2"/>
    <w:basedOn w:val="705"/>
    <w:link w:val="72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8" w:default="1">
    <w:name w:val="Default Paragraph Font"/>
    <w:uiPriority w:val="1"/>
    <w:unhideWhenUsed/>
  </w:style>
  <w:style w:type="table" w:styleId="7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0" w:default="1">
    <w:name w:val="No List"/>
    <w:uiPriority w:val="99"/>
    <w:semiHidden/>
    <w:unhideWhenUsed/>
  </w:style>
  <w:style w:type="paragraph" w:styleId="711">
    <w:name w:val="List Paragraph"/>
    <w:basedOn w:val="705"/>
    <w:link w:val="71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2" w:customStyle="1">
    <w:name w:val="Абзац списка Знак"/>
    <w:link w:val="711"/>
    <w:uiPriority w:val="34"/>
    <w:qFormat/>
    <w:rPr>
      <w:rFonts w:ascii="Calibri" w:hAnsi="Calibri" w:eastAsia="Calibri" w:cs="Calibri"/>
      <w:lang w:eastAsia="zh-CN"/>
    </w:rPr>
  </w:style>
  <w:style w:type="table" w:styleId="713">
    <w:name w:val="Table Grid"/>
    <w:basedOn w:val="70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4" w:customStyle="1">
    <w:name w:val="Сетка таблицы2"/>
    <w:basedOn w:val="709"/>
    <w:next w:val="71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5">
    <w:name w:val="Normal (Web)"/>
    <w:basedOn w:val="705"/>
    <w:link w:val="722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6" w:customStyle="1">
    <w:name w:val="Сетка таблицы1"/>
    <w:basedOn w:val="709"/>
    <w:next w:val="71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7">
    <w:name w:val="Footer"/>
    <w:basedOn w:val="705"/>
    <w:link w:val="71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8" w:customStyle="1">
    <w:name w:val="Нижний колонтитул Знак"/>
    <w:basedOn w:val="708"/>
    <w:link w:val="717"/>
    <w:uiPriority w:val="99"/>
    <w:rPr>
      <w:rFonts w:ascii="Calibri" w:hAnsi="Calibri" w:eastAsia="Calibri" w:cs="Calibri"/>
      <w:lang w:eastAsia="zh-CN"/>
    </w:rPr>
  </w:style>
  <w:style w:type="paragraph" w:styleId="71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0">
    <w:name w:val="Hyperlink"/>
    <w:basedOn w:val="708"/>
    <w:uiPriority w:val="99"/>
    <w:unhideWhenUsed/>
    <w:rPr>
      <w:color w:val="0563c1" w:themeColor="hyperlink"/>
      <w:u w:val="single"/>
    </w:rPr>
  </w:style>
  <w:style w:type="character" w:styleId="721" w:customStyle="1">
    <w:name w:val="xfm_93972720"/>
    <w:basedOn w:val="708"/>
  </w:style>
  <w:style w:type="character" w:styleId="722" w:customStyle="1">
    <w:name w:val="Обычный (веб) Знак"/>
    <w:link w:val="715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3">
    <w:name w:val="Body Text 2"/>
    <w:basedOn w:val="705"/>
    <w:link w:val="72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4" w:customStyle="1">
    <w:name w:val="Основной текст 2 Знак"/>
    <w:basedOn w:val="708"/>
    <w:link w:val="72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6" w:customStyle="1">
    <w:name w:val="Заголовок 2 Знак"/>
    <w:basedOn w:val="708"/>
    <w:link w:val="70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7">
    <w:name w:val="No Spacing"/>
    <w:link w:val="72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8" w:customStyle="1">
    <w:name w:val="Без интервала Знак"/>
    <w:basedOn w:val="708"/>
    <w:link w:val="727"/>
    <w:uiPriority w:val="1"/>
    <w:rPr>
      <w:rFonts w:ascii="Calibri" w:hAnsi="Calibri" w:eastAsia="Calibri" w:cs="Times New Roman"/>
      <w:lang w:val="uk-UA"/>
    </w:rPr>
  </w:style>
  <w:style w:type="character" w:styleId="729" w:customStyle="1">
    <w:name w:val="Другое_"/>
    <w:basedOn w:val="708"/>
    <w:link w:val="730"/>
    <w:rPr>
      <w:rFonts w:ascii="Calibri" w:hAnsi="Calibri" w:eastAsia="Calibri" w:cs="Calibri"/>
      <w:sz w:val="20"/>
      <w:szCs w:val="20"/>
    </w:rPr>
  </w:style>
  <w:style w:type="paragraph" w:styleId="730" w:customStyle="1">
    <w:name w:val="Другое"/>
    <w:basedOn w:val="705"/>
    <w:link w:val="729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1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2" w:customStyle="1">
    <w:name w:val="Основной текст (2)_"/>
    <w:basedOn w:val="708"/>
    <w:link w:val="733"/>
    <w:rPr>
      <w:rFonts w:eastAsia="Times New Roman" w:cs="Times New Roman"/>
      <w:shd w:val="clear" w:color="auto" w:fill="ffffff"/>
    </w:rPr>
  </w:style>
  <w:style w:type="paragraph" w:styleId="733" w:customStyle="1">
    <w:name w:val="Основной текст (2)"/>
    <w:basedOn w:val="705"/>
    <w:link w:val="732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4" w:customStyle="1">
    <w:name w:val="Текст выноски Знак"/>
    <w:basedOn w:val="708"/>
    <w:link w:val="735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5">
    <w:name w:val="Balloon Text"/>
    <w:basedOn w:val="705"/>
    <w:link w:val="734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6" w:customStyle="1">
    <w:name w:val="Текст у виносці Знак1"/>
    <w:basedOn w:val="708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7" w:customStyle="1">
    <w:name w:val="T23"/>
    <w:rPr>
      <w:rFonts w:hint="default" w:ascii="Times New Roman" w:hAnsi="Times New Roman" w:eastAsia="Times New Roman1" w:cs="Times New Roman"/>
    </w:rPr>
  </w:style>
  <w:style w:type="paragraph" w:styleId="738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9" w:customStyle="1">
    <w:name w:val="markedcontent"/>
    <w:basedOn w:val="708"/>
  </w:style>
  <w:style w:type="paragraph" w:styleId="740">
    <w:name w:val="annotation text"/>
    <w:basedOn w:val="705"/>
    <w:link w:val="741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1" w:customStyle="1">
    <w:name w:val="Текст примечания Знак"/>
    <w:basedOn w:val="708"/>
    <w:link w:val="740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42" w:customStyle="1">
    <w:name w:val="Заголовок 1 Знак"/>
    <w:basedOn w:val="708"/>
    <w:link w:val="706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AF668-0FE2-4817-8DF4-2D80B308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4</cp:revision>
  <dcterms:created xsi:type="dcterms:W3CDTF">2023-11-01T07:15:00Z</dcterms:created>
  <dcterms:modified xsi:type="dcterms:W3CDTF">2023-11-07T10:46:11Z</dcterms:modified>
</cp:coreProperties>
</file>