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2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Виготовлення </w:t>
      </w:r>
      <w:r>
        <w:rPr>
          <w:b w:val="0"/>
          <w:bCs w:val="0"/>
          <w:sz w:val="24"/>
          <w:szCs w:val="24"/>
        </w:rPr>
        <w:t xml:space="preserve">проєктної</w:t>
      </w:r>
      <w:r>
        <w:rPr>
          <w:b w:val="0"/>
          <w:bCs w:val="0"/>
          <w:sz w:val="24"/>
          <w:szCs w:val="24"/>
        </w:rPr>
        <w:t xml:space="preserve"> документації по об’єкту: «Реконструкція будівлі кінотеатру «Спутник» під адміністративно-інформаційний центр відділу «Комунікаційний центр «Служба 112» у м. Дніпро» з спорудою цивільного захисту за </w:t>
      </w:r>
      <w:r>
        <w:rPr>
          <w:b w:val="0"/>
          <w:bCs w:val="0"/>
          <w:sz w:val="24"/>
          <w:szCs w:val="24"/>
        </w:rPr>
        <w:t xml:space="preserve">адресою</w:t>
      </w:r>
      <w:r>
        <w:rPr>
          <w:b w:val="0"/>
          <w:bCs w:val="0"/>
          <w:sz w:val="24"/>
          <w:szCs w:val="24"/>
        </w:rPr>
        <w:t xml:space="preserve">: м. Дніпро, вул. </w:t>
      </w:r>
      <w:r>
        <w:rPr>
          <w:b w:val="0"/>
          <w:bCs w:val="0"/>
          <w:sz w:val="24"/>
          <w:szCs w:val="24"/>
          <w:lang w:val="ru-RU"/>
        </w:rPr>
        <w:t xml:space="preserve">Титова,</w:t>
      </w:r>
      <w:r>
        <w:rPr>
          <w:b w:val="0"/>
          <w:bCs w:val="0"/>
          <w:sz w:val="24"/>
          <w:szCs w:val="24"/>
        </w:rPr>
        <w:t xml:space="preserve"> </w:t>
      </w:r>
      <w:r>
        <w:rPr>
          <w:b w:val="0"/>
          <w:bCs w:val="0"/>
          <w:sz w:val="24"/>
          <w:szCs w:val="24"/>
          <w:lang w:val="ru-RU"/>
        </w:rPr>
        <w:t xml:space="preserve">18» (в тому </w:t>
      </w:r>
      <w:r>
        <w:rPr>
          <w:b w:val="0"/>
          <w:bCs w:val="0"/>
          <w:sz w:val="24"/>
          <w:szCs w:val="24"/>
          <w:lang w:val="ru-RU"/>
        </w:rPr>
        <w:t xml:space="preserve">числі</w:t>
      </w:r>
      <w:r>
        <w:rPr>
          <w:b w:val="0"/>
          <w:bCs w:val="0"/>
          <w:sz w:val="24"/>
          <w:szCs w:val="24"/>
          <w:lang w:val="ru-RU"/>
        </w:rPr>
        <w:t xml:space="preserve"> комплексна </w:t>
      </w:r>
      <w:r>
        <w:rPr>
          <w:b w:val="0"/>
          <w:bCs w:val="0"/>
          <w:sz w:val="24"/>
          <w:szCs w:val="24"/>
          <w:lang w:val="ru-RU"/>
        </w:rPr>
        <w:t xml:space="preserve">експертиза</w:t>
      </w:r>
      <w:r>
        <w:rPr>
          <w:b w:val="0"/>
          <w:bCs w:val="0"/>
          <w:sz w:val="24"/>
          <w:szCs w:val="24"/>
          <w:lang w:val="ru-RU"/>
        </w:rPr>
        <w:t xml:space="preserve"> проекту)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  <w:lang w:val="ru-RU"/>
        </w:rPr>
        <w:t xml:space="preserve">за кодом </w:t>
      </w:r>
      <w:r>
        <w:rPr>
          <w:b w:val="0"/>
          <w:bCs w:val="0"/>
          <w:sz w:val="24"/>
          <w:szCs w:val="24"/>
        </w:rPr>
        <w:t xml:space="preserve">CPV</w:t>
      </w:r>
      <w:r>
        <w:rPr>
          <w:b w:val="0"/>
          <w:bCs w:val="0"/>
          <w:sz w:val="24"/>
          <w:szCs w:val="24"/>
          <w:lang w:val="ru-RU"/>
        </w:rPr>
        <w:t xml:space="preserve"> за ЄЗС ДК 021:2015: 71320000-7 «</w:t>
      </w:r>
      <w:r>
        <w:rPr>
          <w:b w:val="0"/>
          <w:bCs w:val="0"/>
          <w:sz w:val="24"/>
          <w:szCs w:val="24"/>
          <w:lang w:val="ru-RU"/>
        </w:rPr>
        <w:t xml:space="preserve">Послуги</w:t>
      </w:r>
      <w:r>
        <w:rPr>
          <w:b w:val="0"/>
          <w:bCs w:val="0"/>
          <w:sz w:val="24"/>
          <w:szCs w:val="24"/>
          <w:lang w:val="ru-RU"/>
        </w:rPr>
        <w:t xml:space="preserve"> з </w:t>
      </w:r>
      <w:r>
        <w:rPr>
          <w:b w:val="0"/>
          <w:bCs w:val="0"/>
          <w:sz w:val="24"/>
          <w:szCs w:val="24"/>
          <w:lang w:val="ru-RU"/>
        </w:rPr>
        <w:t xml:space="preserve">інженерного</w:t>
      </w:r>
      <w:r>
        <w:rPr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  <w:lang w:val="ru-RU"/>
        </w:rPr>
        <w:t xml:space="preserve">проектування</w:t>
      </w:r>
      <w:r>
        <w:rPr>
          <w:b w:val="0"/>
          <w:bCs w:val="0"/>
          <w:sz w:val="24"/>
          <w:szCs w:val="24"/>
          <w:lang w:val="ru-RU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12823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Виготовлення </w:t>
      </w:r>
      <w:r>
        <w:rPr>
          <w:rFonts w:ascii="Times New Roman" w:hAnsi="Times New Roman" w:cs="Times New Roman"/>
          <w:sz w:val="24"/>
          <w:szCs w:val="24"/>
        </w:rPr>
        <w:t xml:space="preserve">проєктної</w:t>
      </w:r>
      <w:r>
        <w:rPr>
          <w:rFonts w:ascii="Times New Roman" w:hAnsi="Times New Roman" w:cs="Times New Roman"/>
          <w:sz w:val="24"/>
          <w:szCs w:val="24"/>
        </w:rPr>
        <w:t xml:space="preserve"> документації по об’єкту: «Реконструкція будівлі кінотеатру «Спутник» під адміністративно-інформаційний центр відділу «Комунікаційний центр «Служба 112» у м. Дніпро» з спорудою цивільного захисту за </w:t>
      </w:r>
      <w:r>
        <w:rPr>
          <w:rFonts w:ascii="Times New Roman" w:hAnsi="Times New Roman" w:cs="Times New Roman"/>
          <w:sz w:val="24"/>
          <w:szCs w:val="24"/>
        </w:rPr>
        <w:t xml:space="preserve">адресою</w:t>
      </w:r>
      <w:r>
        <w:rPr>
          <w:rFonts w:ascii="Times New Roman" w:hAnsi="Times New Roman" w:cs="Times New Roman"/>
          <w:sz w:val="24"/>
          <w:szCs w:val="24"/>
        </w:rPr>
        <w:t xml:space="preserve">: м. Дніпро, вул.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Титова,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18» (в тому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числі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комплексна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експертиза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кодом </w:t>
      </w:r>
      <w:r>
        <w:rPr>
          <w:rFonts w:ascii="Times New Roman" w:hAnsi="Times New Roman" w:cs="Times New Roman"/>
          <w:sz w:val="24"/>
          <w:szCs w:val="24"/>
        </w:rPr>
        <w:t xml:space="preserve">CPV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ЄЗС ДК 021:2015: 71320000-7 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інженерного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проектування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</w:t>
      </w:r>
      <w:r/>
    </w:p>
    <w:p>
      <w:pPr>
        <w:pStyle w:val="772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/>
    </w:p>
    <w:p>
      <w:pPr>
        <w:pStyle w:val="77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ЗАВДАННЯ НА ПРОЄКТУВАННЯ</w:t>
      </w:r>
      <w:r/>
    </w:p>
    <w:p>
      <w:pPr>
        <w:pStyle w:val="738"/>
        <w:jc w:val="both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</w:r>
      <w:r/>
    </w:p>
    <w:tbl>
      <w:tblPr>
        <w:tblW w:w="10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85" w:type="dxa"/>
          <w:right w:w="85" w:type="dxa"/>
        </w:tblCellMar>
        <w:tblLook w:val="0020" w:firstRow="1" w:lastRow="0" w:firstColumn="0" w:lastColumn="0" w:noHBand="0" w:noVBand="0"/>
      </w:tblPr>
      <w:tblGrid>
        <w:gridCol w:w="530"/>
        <w:gridCol w:w="3267"/>
        <w:gridCol w:w="6353"/>
      </w:tblGrid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Перелік основних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відомостей та вимог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 основних відомостей та  вимог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та місцезнаходження об’єкту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Реконструкція будівлі кінотеатру «Спутник» під адміністративно-інформаційний центр відділу «Комунікаційний центр «Служба 112» у м. Дніпро» з спорудою цивільного захисту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адресою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м. Дніпро, вул. Титова, 18»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Підстава для проектування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 фінансування на 2024 рік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будівництва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замовника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УСТАНОВА «ЦЕНТР ІНФРАСТРУКТУРИ ТА ТЕХНОЛОГІЙ МІНІСТЕРСТВА ВНУТРІШНІХ СПРАВ УКРАЇНИ»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Джерело фінансування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Державний бюджет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генерального проектувальника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Визначається за результатами закупівлі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Стадійність проектування з визначенням затверджуваної стадії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ind w:firstLine="33"/>
              <w:jc w:val="both"/>
              <w:spacing w:after="0" w:line="240" w:lineRule="auto"/>
              <w:tabs>
                <w:tab w:val="left" w:pos="385" w:leader="none"/>
              </w:tabs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uk-UA"/>
              </w:rPr>
              <w:t xml:space="preserve">Дві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-RU" w:eastAsia="uk-UA"/>
              </w:rPr>
              <w:t xml:space="preserve">стадії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-RU" w:eastAsia="uk-UA"/>
              </w:rPr>
              <w:t xml:space="preserve">: проект,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-RU" w:eastAsia="uk-UA"/>
              </w:rPr>
              <w:t xml:space="preserve">робоча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val="ru-RU" w:eastAsia="uk-UA"/>
              </w:rPr>
              <w:t xml:space="preserve">документація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Інженерні вишукування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Надаються Замовником</w:t>
            </w:r>
            <w:r/>
          </w:p>
        </w:tc>
      </w:tr>
      <w:tr>
        <w:trPr>
          <w:trHeight w:val="120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особливі умови будівництва( сейсмічність, просадні ґрунти підроблю вальні і підтоплю вальні території тощо).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114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класу наслідків (відповідальності) і встановленого строку експлуатації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Попередньо СС2, виконати розрахунки відповідно вимог ДСТУ-Н Б.В.1.2-16:2019 «Визначення класу наслідків (відповідальності) та категорії складності об’єктів будівництва»</w:t>
            </w:r>
            <w:r/>
          </w:p>
        </w:tc>
      </w:tr>
      <w:tr>
        <w:trPr>
          <w:trHeight w:val="51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особливі умови будівництва 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Відсутні </w:t>
            </w:r>
            <w:r/>
          </w:p>
        </w:tc>
      </w:tr>
      <w:tr>
        <w:trPr>
          <w:trHeight w:val="69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Основні архітектурно-планувальні вимоги і характеристики запроектованого об’єкта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Реконструкція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3-поверхової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будівлі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кінотеатру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адресою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 м.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Дніпро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вул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zh-C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 Титова, 18: площа будівлі 1922,9 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будівельний об’єм 3877,0 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zh-CN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((фасадні роботи, внутрішній інтер’єр, інженерні мережі,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слабострумові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мережі), благоустрій прилеглої території, влаштування захисної споруди цивільного захисту)</w:t>
            </w:r>
            <w:r/>
          </w:p>
        </w:tc>
      </w:tr>
      <w:tr>
        <w:trPr>
          <w:trHeight w:val="93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Черговість будівництва, необхідність виділення пускових комплексів 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дві черги:</w:t>
            </w:r>
            <w:r/>
          </w:p>
          <w:p>
            <w:pPr>
              <w:pStyle w:val="734"/>
              <w:numPr>
                <w:ilvl w:val="0"/>
                <w:numId w:val="42"/>
              </w:numPr>
              <w:ind w:left="307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Захисна споруда цивільного захисту (в тому числі повний комплекс інженерних мереж будівлі);</w:t>
            </w:r>
            <w:r/>
          </w:p>
          <w:p>
            <w:pPr>
              <w:pStyle w:val="734"/>
              <w:numPr>
                <w:ilvl w:val="0"/>
                <w:numId w:val="42"/>
              </w:numPr>
              <w:ind w:left="307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Комутаційний центр «Служба 112»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gridSpan w:val="2"/>
            <w:tcW w:w="96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Вказівки про необхідність: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розроблення індивідуальних технічних вимог;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2). Розроблення окремих проектних рішень у декількох варіантах і на конкурсній основі;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90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Попередні погодження проектних рішень;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contextualSpacing/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Затвердження Замовником стадії «Проект»</w:t>
            </w:r>
            <w:r/>
          </w:p>
        </w:tc>
      </w:tr>
      <w:tr>
        <w:trPr>
          <w:trHeight w:val="99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4). Виконання демонстраційних матеріалів, макетів, креслень, інтер’єрів, їх склад та форма;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5). Виконання науково-дослідних та дослідно-експериментальних робіт у процесі проектування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Відсутні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6). Технічний захист інформації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договору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або характеристика об’єкта, виробнича програма.</w:t>
            </w:r>
            <w:r/>
          </w:p>
        </w:tc>
        <w:tc>
          <w:tcPr>
            <w:tcW w:w="6353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Визначається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згідно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ДБН А.2.2-3-2014 «Склад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зміст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проектної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будівництво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».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благоустрою майданчика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Виконати благоустрій прилеглої території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інженерного захисту територій та об’єктів, виробнича програма.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щодо розроблення розділу «Оцінка впливу на  навколишнє середовище».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54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з енергозбереження та енергоефективності.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12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Дані про технології і (або) науково-дослідні роботи, які пропонує застосувати  замовник.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Відсутні</w:t>
            </w:r>
            <w:r/>
          </w:p>
        </w:tc>
      </w:tr>
      <w:tr>
        <w:trPr>
          <w:trHeight w:val="140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режиму безпеки та охорони праці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</w:t>
            </w:r>
            <w:r/>
          </w:p>
        </w:tc>
      </w:tr>
      <w:tr>
        <w:trPr>
          <w:trHeight w:val="17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 до розробки розділу інженерно-технічних заходів з цивільного захисту (цивільної оборони)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діючих нормативів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систем протипожежного захисту об’єкту.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законодавства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Містобудівні вимоги щодо території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Надаються Замовником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нежитлових будівель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Адміністративна будівля</w:t>
            </w:r>
            <w:r/>
          </w:p>
        </w:tc>
      </w:tr>
      <w:tr>
        <w:trPr>
          <w:trHeight w:val="148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інклюзивності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об’єкту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діючого законодавства </w:t>
            </w:r>
            <w:r/>
          </w:p>
        </w:tc>
      </w:tr>
      <w:tr>
        <w:trPr>
          <w:trHeight w:val="57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Перелік будинків і споруд що проектуються у складі комплексу.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1"/>
              </w:numPr>
              <w:contextualSpacing/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Комунікаційний центр «Служба 112</w:t>
            </w:r>
            <w:r/>
          </w:p>
        </w:tc>
      </w:tr>
      <w:tr>
        <w:trPr>
          <w:trHeight w:val="19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примірників кошторисної документації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примірники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паперовому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електронний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носій</w:t>
            </w:r>
            <w:r/>
          </w:p>
        </w:tc>
      </w:tr>
      <w:tr>
        <w:trPr>
          <w:trHeight w:val="192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0205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Основні вимоги до проектування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ind w:left="-53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Проекту: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Загальна пояснювальна записка (в тому числі: коротка характеристика об’єкта будівництва; дані інженерних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вишукувань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; відомості про потреби в паливі, воді, електрич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ній та тепловій енергії; матеріали ОВНС; доступність об’єкта будівництва для маломобільних груп населення; основні техніко-економічні показники; розрахунок класу наслідків (відповідальності) об’єкта; пожежна безпека; забезпечення енергоефективності  тощо);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Архітектурно-будівельні рішення (в тому числі: рішення та основні показники генерального плану, благоустрою та озеленення; короткий опис 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обгрунтування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архітектурних рішень та їх відповідність функціональному призначенню; рішення щодо зовнішнього та внутрішнього оздоблення тощо);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Рішення та схеми влаштування інженерного обладнання (рішення із внутрішнього та зовнішнього інженерного обладнання (опалення, вентиляція, кондиціонування повітря, водопостачання та каналізація, електрообладнання,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електросвітлення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захисту від блискавок, зв’язку та сигналізації тощо); інженерні рішення щодо протипожежних заходів тощо);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Основні креслення (в тому числі: ситуаційний план; генеральний план; рішення з благоустрою та озеленення; плани трас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внутрішньомайданчикових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мереж і споруд; схеми розташування фундаментів, плани поверхів, фасади, розрізи будівлі із схематичним зображенням основних несучих та огороджувальних конструкцій; принципові рішення основних вузлів конструктивних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елементів, деталі огороджувальних конструкцій; інтер’єри основних приміщень тощо);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Меблі та інвентар;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Розділ інженерно-технічних заходів цивільного захисту (на основі існуючого підвального приміщення);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Організація будівництва;</w:t>
            </w:r>
            <w:r/>
          </w:p>
          <w:p>
            <w:pPr>
              <w:pStyle w:val="734"/>
              <w:numPr>
                <w:ilvl w:val="0"/>
                <w:numId w:val="41"/>
              </w:numPr>
              <w:ind w:left="307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Кошторисна документація.</w:t>
            </w:r>
            <w:r/>
          </w:p>
        </w:tc>
      </w:tr>
      <w:tr>
        <w:trPr>
          <w:trHeight w:val="125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/>
          </w:p>
        </w:tc>
        <w:tc>
          <w:tcPr>
            <w:tcW w:w="326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Вимоги до кошторисної документації.</w:t>
            </w:r>
            <w:r/>
          </w:p>
        </w:tc>
        <w:tc>
          <w:tcPr>
            <w:tcW w:w="635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Кошторисна документація має бути розрах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ована згідно КНУ «Настанова з визначення вартості будівництва» затвердженої Наказом Міністерства розвитку громад, територій та інфраструктури України від 01.11.2021 № 281, за допомогою ліцензійного програмного комплексу АВК-5 останньої версії, або аналогу.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При складанні кошторисної документації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рахувати кошти на технічний нагляд (у розмірі 1,5% від підсумку глав 1-9), на авторський нагляд, здійснення комплексної експертизи проектно-кошторисної документації, кошти на покриття ризиків, пов’язаних з проектною документацією, вартість проектних робіт.</w:t>
            </w:r>
            <w:r/>
          </w:p>
          <w:p>
            <w:pPr>
              <w:contextualSpacing/>
              <w:ind w:firstLine="449"/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Кошторисна документація має бути розрахована за допомогою ліцензійного програмного комплексу АВК-5 останньої версії, або аналогу (надати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-копію діючої ліцензії програмного забезпечення).</w:t>
            </w:r>
            <w:r/>
          </w:p>
        </w:tc>
      </w:tr>
    </w:tbl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contextualSpacing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Вартість проектних робіт та експертизи проектної документації на будівництво розраховується відповідно до завдання на проект</w:t>
      </w:r>
      <w:r>
        <w:rPr>
          <w:rFonts w:ascii="Times New Roman" w:hAnsi="Times New Roman"/>
          <w:sz w:val="24"/>
          <w:szCs w:val="24"/>
        </w:rPr>
        <w:t xml:space="preserve">ування та Настанови з визначення вартості проектних, науково-проектних, вишукувальних робіт та експертизи проектної документації на будівництво, яка затверджена наказом Міністерства розвитку громад, територій та інфраструктури України від 01.11.2021 № 281.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Учасник повинен виконати роботи, що є предметом закупівлі, в обсягах та у строки, які визначені Замовником.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Всі необхідні витратні матеріали, що необхідні для виконання робіт, Учаснику необхідно передбачити та </w:t>
      </w:r>
      <w:r>
        <w:rPr>
          <w:rFonts w:ascii="Times New Roman" w:hAnsi="Times New Roman"/>
          <w:sz w:val="24"/>
          <w:szCs w:val="24"/>
        </w:rPr>
        <w:t xml:space="preserve">внести</w:t>
      </w:r>
      <w:r>
        <w:rPr>
          <w:rFonts w:ascii="Times New Roman" w:hAnsi="Times New Roman"/>
          <w:sz w:val="24"/>
          <w:szCs w:val="24"/>
        </w:rPr>
        <w:t xml:space="preserve"> в ціну тендерної пропозиції. </w:t>
      </w:r>
      <w:r>
        <w:rPr>
          <w:rFonts w:ascii="Times New Roman" w:hAnsi="Times New Roman"/>
          <w:sz w:val="24"/>
          <w:szCs w:val="24"/>
        </w:rPr>
        <w:t xml:space="preserve">(за необхідності Учасник може за домовленістю із Замовником відвідати та оглянути об’єкт Замовника для правильних розрахунків вартості та економії бюджетних коштів). Об’єкт реконструкції, за яким необхідно виконати проектні роботи, знаходиться у м. Дніпро.</w:t>
      </w:r>
      <w:r/>
    </w:p>
    <w:p>
      <w:pPr>
        <w:ind w:right="23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Учасник повинен надати у складі пропозиції лист щодо підтвердження виконання проектних робіт без отримання авансового платежу.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Учасники повинні надати у складі пропозицій гарантійний лист, </w:t>
      </w:r>
      <w:r>
        <w:rPr>
          <w:rFonts w:ascii="Times New Roman" w:hAnsi="Times New Roman"/>
          <w:sz w:val="24"/>
          <w:szCs w:val="24"/>
        </w:rPr>
        <w:t xml:space="preserve">що Учасник гарантує у разі визначення його переможцем закупівлі він зобов’язаний провести комплексну експертизу проектно-кошторисної документації та надати результат експертизи Замовнику, оформлений відповідним документом. У разі якщо у висновку до експерт</w:t>
      </w:r>
      <w:r>
        <w:rPr>
          <w:rFonts w:ascii="Times New Roman" w:hAnsi="Times New Roman"/>
          <w:sz w:val="24"/>
          <w:szCs w:val="24"/>
        </w:rPr>
        <w:t xml:space="preserve">изи буде зазначена менша вартість проектних робіт ніж надав Учасник-переможець то він зобов’язується укласти додаткову угоду, на зменшення суми договору відповідно до підпункту 5 пункту 19 Особливостей без зміни обсягу робіт та якісних характеристик робіт.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6 012 565,00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шість мільйонів дванадцять тисяч п’ятсот шістдесят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вимог Настанови з визначення вартості проектних, науково-проектних, вишукувальних робіт та експертизи проектної документації на будівництво, яка затверджена наказом Міністерства розвитку громад, територій та інфраструктури України від 01.11.2021 № 281.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Вихідні дані: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Орієнтовна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будівельних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главами 1-9 ЗКР становить 131 476,00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єкт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невиробничого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призначення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клас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наслідків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відповідальності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– СС2;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Орієнтовна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устаткування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32 625,26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Коригуючий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коефіцієнт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1;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Рівень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заробітної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плати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розряду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3,8 становить 12 101,81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Рівень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середньомісячної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заробітної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розряду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складності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будівництві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3,8 становить10 628,39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8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Відрахування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загальнообов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язкове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державне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пенсійне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соціальне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страхування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22 %.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Розрахунок вартості проектних робіт:</w:t>
      </w:r>
      <w:r/>
    </w:p>
    <w:p>
      <w:pPr>
        <w:pStyle w:val="734"/>
        <w:numPr>
          <w:ilvl w:val="0"/>
          <w:numId w:val="39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131 476,00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100 000,00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Кінцева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131 476,00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кінцевий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3,16 %;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Коефіцієнт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збільшення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1,169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(1+(1+0,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22)*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1*(12 101,81/10 628,39-1))/(131 476,00*1/(131 476,00 +32 625,26)+32 625,26*1/(131 476,00+32 625,26))=1,169);</w:t>
      </w:r>
      <w:r/>
    </w:p>
    <w:p>
      <w:pPr>
        <w:pStyle w:val="734"/>
        <w:numPr>
          <w:ilvl w:val="0"/>
          <w:numId w:val="39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проектних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робіт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складає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5 828,131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 ПДВ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131 476,00 *3,16*1,169/100*1*1,2=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5 828,131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 вартості експертизи проектної документації: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устаткування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будівництва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19,88 %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32 625,26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131 476,00+32 625,26)*100 = 19,88 %);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Коефіцієнт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збільшення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експертизи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1,169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(1+(1+0,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22)*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1*(12 101,81/10 628,39-1))/(131 476,00*1/(131 476,00 +32 625,26)+32 625,26*1/(131 476,00+32 625,26))=1,169);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100 000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база становить 200 000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Початковий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експертизи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всіма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напрямками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складає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0,103 %;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Кінцевий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граничний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табличний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експертизи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всіма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напрямками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складає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0,095 %;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відсотковий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показник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експертизи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всіма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напрямками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0,1%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0,095-(0,095-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0,103)*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(200 000-131 476,0)/(200 000-100 000)=0,1%);</w:t>
      </w:r>
      <w:r/>
    </w:p>
    <w:p>
      <w:pPr>
        <w:pStyle w:val="734"/>
        <w:numPr>
          <w:ilvl w:val="0"/>
          <w:numId w:val="40"/>
        </w:numPr>
        <w:ind w:left="0"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Вартість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експертизи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всіма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напрямками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становить 184,434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 ПДВ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розрахунок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131 476,00*0,1*1,169/100*1,2=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184,434 тис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Враховуючи викладене, очікувана вартість виготовлення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проєктної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документації по об’єкту: Реконструкція будівлі кінотеатру «Спутник» під адміністративно-інформаційний центр відділу «Комунікаційний центр «Служба 112» у м. Дніпро» з спорудою цивільного захисту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адресою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м. Дніпро, вул. Титова, 18 (в тому числі комплексна експертиза проекту) становить 6 012,565 тис грн.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4"/>
  </w:num>
  <w:num w:numId="2">
    <w:abstractNumId w:val="20"/>
  </w:num>
  <w:num w:numId="3">
    <w:abstractNumId w:val="8"/>
  </w:num>
  <w:num w:numId="4">
    <w:abstractNumId w:val="28"/>
  </w:num>
  <w:num w:numId="5">
    <w:abstractNumId w:val="7"/>
  </w:num>
  <w:num w:numId="6">
    <w:abstractNumId w:val="35"/>
  </w:num>
  <w:num w:numId="7">
    <w:abstractNumId w:val="12"/>
  </w:num>
  <w:num w:numId="8">
    <w:abstractNumId w:val="37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</w:num>
  <w:num w:numId="17">
    <w:abstractNumId w:val="0"/>
  </w:num>
  <w:num w:numId="18">
    <w:abstractNumId w:val="40"/>
  </w:num>
  <w:num w:numId="19">
    <w:abstractNumId w:val="2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0"/>
  </w:num>
  <w:num w:numId="25">
    <w:abstractNumId w:val="23"/>
  </w:num>
  <w:num w:numId="26">
    <w:abstractNumId w:val="26"/>
  </w:num>
  <w:num w:numId="27">
    <w:abstractNumId w:val="32"/>
  </w:num>
  <w:num w:numId="28">
    <w:abstractNumId w:val="24"/>
  </w:num>
  <w:num w:numId="29">
    <w:abstractNumId w:val="33"/>
  </w:num>
  <w:num w:numId="30">
    <w:abstractNumId w:val="19"/>
  </w:num>
  <w:num w:numId="31">
    <w:abstractNumId w:val="3"/>
  </w:num>
  <w:num w:numId="32">
    <w:abstractNumId w:val="22"/>
  </w:num>
  <w:num w:numId="33">
    <w:abstractNumId w:val="18"/>
  </w:num>
  <w:num w:numId="34">
    <w:abstractNumId w:val="15"/>
  </w:num>
  <w:num w:numId="35">
    <w:abstractNumId w:val="39"/>
  </w:num>
  <w:num w:numId="36">
    <w:abstractNumId w:val="5"/>
  </w:num>
  <w:num w:numId="37">
    <w:abstractNumId w:val="16"/>
  </w:num>
  <w:num w:numId="38">
    <w:abstractNumId w:val="2"/>
  </w:num>
  <w:num w:numId="39">
    <w:abstractNumId w:val="38"/>
  </w:num>
  <w:num w:numId="40">
    <w:abstractNumId w:val="31"/>
  </w:num>
  <w:num w:numId="41">
    <w:abstractNumId w:val="2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7"/>
    <w:next w:val="72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1"/>
    <w:link w:val="72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731"/>
    <w:link w:val="72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731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7"/>
    <w:next w:val="72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3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7"/>
    <w:next w:val="72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7"/>
    <w:next w:val="72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7"/>
    <w:next w:val="72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7"/>
    <w:next w:val="72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27"/>
    <w:next w:val="72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1"/>
    <w:link w:val="33"/>
    <w:uiPriority w:val="10"/>
    <w:rPr>
      <w:sz w:val="48"/>
      <w:szCs w:val="48"/>
    </w:rPr>
  </w:style>
  <w:style w:type="paragraph" w:styleId="35">
    <w:name w:val="Subtitle"/>
    <w:basedOn w:val="727"/>
    <w:next w:val="72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1"/>
    <w:link w:val="35"/>
    <w:uiPriority w:val="11"/>
    <w:rPr>
      <w:sz w:val="24"/>
      <w:szCs w:val="24"/>
    </w:rPr>
  </w:style>
  <w:style w:type="paragraph" w:styleId="37">
    <w:name w:val="Quote"/>
    <w:basedOn w:val="727"/>
    <w:next w:val="72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7"/>
    <w:next w:val="72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31"/>
    <w:link w:val="41"/>
    <w:uiPriority w:val="99"/>
  </w:style>
  <w:style w:type="character" w:styleId="44">
    <w:name w:val="Footer Char"/>
    <w:basedOn w:val="731"/>
    <w:link w:val="740"/>
    <w:uiPriority w:val="99"/>
  </w:style>
  <w:style w:type="paragraph" w:styleId="45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0"/>
    <w:uiPriority w:val="99"/>
  </w:style>
  <w:style w:type="table" w:styleId="48">
    <w:name w:val="Table Grid Light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2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1"/>
    <w:uiPriority w:val="99"/>
    <w:unhideWhenUsed/>
    <w:rPr>
      <w:vertAlign w:val="superscript"/>
    </w:rPr>
  </w:style>
  <w:style w:type="paragraph" w:styleId="177">
    <w:name w:val="endnote text"/>
    <w:basedOn w:val="72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1"/>
    <w:uiPriority w:val="99"/>
    <w:semiHidden/>
    <w:unhideWhenUsed/>
    <w:rPr>
      <w:vertAlign w:val="superscript"/>
    </w:rPr>
  </w:style>
  <w:style w:type="paragraph" w:styleId="180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rPr>
      <w:lang w:val="uk-UA"/>
    </w:rPr>
  </w:style>
  <w:style w:type="paragraph" w:styleId="728">
    <w:name w:val="Heading 2"/>
    <w:basedOn w:val="727"/>
    <w:link w:val="74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729">
    <w:name w:val="Heading 3"/>
    <w:basedOn w:val="727"/>
    <w:next w:val="727"/>
    <w:link w:val="766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30">
    <w:name w:val="Heading 4"/>
    <w:basedOn w:val="727"/>
    <w:next w:val="727"/>
    <w:link w:val="767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paragraph" w:styleId="734">
    <w:name w:val="List Paragraph"/>
    <w:basedOn w:val="727"/>
    <w:link w:val="735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35" w:customStyle="1">
    <w:name w:val="Абзац списку Знак"/>
    <w:link w:val="734"/>
    <w:uiPriority w:val="99"/>
    <w:qFormat/>
    <w:rPr>
      <w:rFonts w:ascii="Calibri" w:hAnsi="Calibri" w:eastAsia="Calibri" w:cs="Calibri"/>
      <w:lang w:eastAsia="zh-CN"/>
    </w:rPr>
  </w:style>
  <w:style w:type="table" w:styleId="736">
    <w:name w:val="Table Grid"/>
    <w:basedOn w:val="73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Сетка таблицы2"/>
    <w:basedOn w:val="732"/>
    <w:next w:val="73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8">
    <w:name w:val="Normal (Web)"/>
    <w:basedOn w:val="727"/>
    <w:link w:val="745"/>
    <w:unhideWhenUsed/>
    <w:qFormat/>
    <w:rPr>
      <w:rFonts w:ascii="Times New Roman" w:hAnsi="Times New Roman" w:cs="Times New Roman"/>
      <w:sz w:val="24"/>
      <w:szCs w:val="24"/>
    </w:rPr>
  </w:style>
  <w:style w:type="table" w:styleId="739" w:customStyle="1">
    <w:name w:val="Сетка таблицы1"/>
    <w:basedOn w:val="732"/>
    <w:next w:val="73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0">
    <w:name w:val="Footer"/>
    <w:basedOn w:val="727"/>
    <w:link w:val="74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41" w:customStyle="1">
    <w:name w:val="Нижній колонтитул Знак"/>
    <w:basedOn w:val="731"/>
    <w:link w:val="740"/>
    <w:uiPriority w:val="99"/>
    <w:rPr>
      <w:rFonts w:ascii="Calibri" w:hAnsi="Calibri" w:eastAsia="Calibri" w:cs="Calibri"/>
      <w:lang w:eastAsia="zh-CN"/>
    </w:rPr>
  </w:style>
  <w:style w:type="paragraph" w:styleId="74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43">
    <w:name w:val="Hyperlink"/>
    <w:basedOn w:val="731"/>
    <w:uiPriority w:val="99"/>
    <w:unhideWhenUsed/>
    <w:rPr>
      <w:color w:val="0563c1" w:themeColor="hyperlink"/>
      <w:u w:val="single"/>
    </w:rPr>
  </w:style>
  <w:style w:type="character" w:styleId="744" w:customStyle="1">
    <w:name w:val="xfm_93972720"/>
    <w:basedOn w:val="731"/>
  </w:style>
  <w:style w:type="character" w:styleId="745" w:customStyle="1">
    <w:name w:val="Звичайний (веб) Знак"/>
    <w:link w:val="738"/>
    <w:qFormat/>
    <w:rPr>
      <w:rFonts w:ascii="Times New Roman" w:hAnsi="Times New Roman" w:cs="Times New Roman"/>
      <w:sz w:val="24"/>
      <w:szCs w:val="24"/>
      <w:lang w:val="uk-UA"/>
    </w:rPr>
  </w:style>
  <w:style w:type="paragraph" w:styleId="746">
    <w:name w:val="Body Text 2"/>
    <w:basedOn w:val="727"/>
    <w:link w:val="74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47" w:customStyle="1">
    <w:name w:val="Основний текст 2 Знак"/>
    <w:basedOn w:val="731"/>
    <w:link w:val="74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49" w:customStyle="1">
    <w:name w:val="Заголовок 2 Знак"/>
    <w:basedOn w:val="731"/>
    <w:link w:val="72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50">
    <w:name w:val="No Spacing"/>
    <w:link w:val="75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51" w:customStyle="1">
    <w:name w:val="Без інтервалів Знак"/>
    <w:basedOn w:val="731"/>
    <w:link w:val="750"/>
    <w:uiPriority w:val="1"/>
    <w:rPr>
      <w:rFonts w:ascii="Calibri" w:hAnsi="Calibri" w:eastAsia="Calibri" w:cs="Times New Roman"/>
      <w:lang w:val="uk-UA"/>
    </w:rPr>
  </w:style>
  <w:style w:type="character" w:styleId="752" w:customStyle="1">
    <w:name w:val="Другое_"/>
    <w:basedOn w:val="731"/>
    <w:link w:val="753"/>
    <w:rPr>
      <w:rFonts w:ascii="Calibri" w:hAnsi="Calibri" w:eastAsia="Calibri" w:cs="Calibri"/>
      <w:sz w:val="20"/>
      <w:szCs w:val="20"/>
    </w:rPr>
  </w:style>
  <w:style w:type="paragraph" w:styleId="753" w:customStyle="1">
    <w:name w:val="Другое"/>
    <w:basedOn w:val="727"/>
    <w:link w:val="75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5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55" w:customStyle="1">
    <w:name w:val="Основной текст (2)_"/>
    <w:basedOn w:val="731"/>
    <w:link w:val="756"/>
    <w:rPr>
      <w:rFonts w:eastAsia="Times New Roman" w:cs="Times New Roman"/>
      <w:shd w:val="clear" w:color="auto" w:fill="ffffff"/>
    </w:rPr>
  </w:style>
  <w:style w:type="paragraph" w:styleId="756" w:customStyle="1">
    <w:name w:val="Основной текст (2)"/>
    <w:basedOn w:val="727"/>
    <w:link w:val="75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57" w:customStyle="1">
    <w:name w:val="Текст у виносці Знак"/>
    <w:basedOn w:val="731"/>
    <w:link w:val="75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58">
    <w:name w:val="Balloon Text"/>
    <w:basedOn w:val="727"/>
    <w:link w:val="75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59" w:customStyle="1">
    <w:name w:val="Текст у виносці Знак1"/>
    <w:basedOn w:val="73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60" w:customStyle="1">
    <w:name w:val="T23"/>
    <w:rPr>
      <w:rFonts w:hint="default" w:ascii="Times New Roman" w:hAnsi="Times New Roman" w:eastAsia="Times New Roman1" w:cs="Times New Roman"/>
    </w:rPr>
  </w:style>
  <w:style w:type="paragraph" w:styleId="761" w:customStyle="1">
    <w:name w:val="Абзац списку1"/>
    <w:basedOn w:val="727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62" w:customStyle="1">
    <w:name w:val="markedcontent"/>
    <w:basedOn w:val="731"/>
  </w:style>
  <w:style w:type="paragraph" w:styleId="763">
    <w:name w:val="annotation text"/>
    <w:basedOn w:val="727"/>
    <w:link w:val="76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64" w:customStyle="1">
    <w:name w:val="Текст примітки Знак"/>
    <w:basedOn w:val="731"/>
    <w:link w:val="7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65" w:customStyle="1">
    <w:name w:val="docdata"/>
    <w:basedOn w:val="731"/>
  </w:style>
  <w:style w:type="character" w:styleId="766" w:customStyle="1">
    <w:name w:val="Заголовок 3 Знак"/>
    <w:basedOn w:val="731"/>
    <w:link w:val="729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uk-UA"/>
    </w:rPr>
  </w:style>
  <w:style w:type="character" w:styleId="767" w:customStyle="1">
    <w:name w:val="Заголовок 4 Знак"/>
    <w:basedOn w:val="731"/>
    <w:link w:val="730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lang w:val="uk-UA"/>
    </w:rPr>
  </w:style>
  <w:style w:type="paragraph" w:styleId="768" w:customStyle="1">
    <w:name w:val="name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69" w:customStyle="1">
    <w:name w:val="cont-spec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70">
    <w:name w:val="Strong"/>
    <w:basedOn w:val="731"/>
    <w:uiPriority w:val="22"/>
    <w:qFormat/>
    <w:rPr>
      <w:b/>
      <w:bCs/>
    </w:rPr>
  </w:style>
  <w:style w:type="paragraph" w:styleId="771" w:customStyle="1">
    <w:name w:val="12902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772" w:customStyle="1">
    <w:name w:val="rvps2"/>
    <w:basedOn w:val="727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val="en-US"/>
    </w:rPr>
  </w:style>
  <w:style w:type="paragraph" w:styleId="773" w:customStyle="1">
    <w:name w:val="Без інтервалів1"/>
    <w:pPr>
      <w:spacing w:after="0" w:line="240" w:lineRule="auto"/>
    </w:pPr>
    <w:rPr>
      <w:rFonts w:ascii="Calibri" w:hAnsi="Calibri" w:eastAsia="Calibri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156</cp:revision>
  <dcterms:created xsi:type="dcterms:W3CDTF">2022-11-01T12:47:00Z</dcterms:created>
  <dcterms:modified xsi:type="dcterms:W3CDTF">2024-02-07T11:36:20Z</dcterms:modified>
</cp:coreProperties>
</file>