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77"/>
        <w:jc w:val="both"/>
        <w:spacing w:before="0" w:beforeAutospacing="0" w:after="0" w:afterAutospacing="0"/>
        <w:shd w:val="clear" w:color="auto" w:fill="ffffff" w:themeFill="background1"/>
        <w:rPr>
          <w:rStyle w:val="690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2.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sz w:val="24"/>
          <w:szCs w:val="24"/>
        </w:rPr>
        <w:t xml:space="preserve"> </w:t>
      </w:r>
      <w:hyperlink r:id="rId11" w:tooltip="https://www.dzo.com.ua/tenders/17227183" w:history="1">
        <w:r>
          <w:rPr>
            <w:rStyle w:val="690"/>
            <w:b w:val="0"/>
            <w:bCs w:val="0"/>
            <w:color w:val="auto"/>
            <w:sz w:val="24"/>
            <w:szCs w:val="24"/>
            <w:u w:val="none"/>
          </w:rPr>
          <w:t xml:space="preserve">Послуги благоустрою території</w:t>
        </w:r>
        <w:r>
          <w:rPr>
            <w:rStyle w:val="701"/>
            <w:rFonts w:eastAsia="Calibri"/>
            <w:b w:val="0"/>
            <w:bCs w:val="0"/>
            <w:sz w:val="24"/>
            <w:szCs w:val="24"/>
            <w:shd w:val="clear" w:color="auto" w:fill="ffffff"/>
          </w:rPr>
          <w:t xml:space="preserve"> на об’єкті ДУ ЦІТ МВС України, за </w:t>
        </w:r>
        <w:r>
          <w:rPr>
            <w:rStyle w:val="701"/>
            <w:rFonts w:eastAsia="Calibri"/>
            <w:b w:val="0"/>
            <w:bCs w:val="0"/>
            <w:sz w:val="24"/>
            <w:szCs w:val="24"/>
            <w:shd w:val="clear" w:color="auto" w:fill="ffffff"/>
          </w:rPr>
          <w:t xml:space="preserve">адресою</w:t>
        </w:r>
        <w:r>
          <w:rPr>
            <w:rStyle w:val="701"/>
            <w:rFonts w:eastAsia="Calibri"/>
            <w:b w:val="0"/>
            <w:bCs w:val="0"/>
            <w:sz w:val="24"/>
            <w:szCs w:val="24"/>
            <w:shd w:val="clear" w:color="auto" w:fill="ffffff"/>
          </w:rPr>
          <w:t xml:space="preserve">: вул. Волинська, 26 </w:t>
        </w:r>
        <w:r>
          <w:rPr>
            <w:rStyle w:val="701"/>
            <w:rFonts w:eastAsia="Calibri"/>
            <w:b w:val="0"/>
            <w:bCs w:val="0"/>
            <w:sz w:val="24"/>
            <w:szCs w:val="24"/>
            <w:shd w:val="clear" w:color="auto" w:fill="ffffff"/>
          </w:rPr>
          <w:t xml:space="preserve">Слом’янського</w:t>
        </w:r>
        <w:r>
          <w:rPr>
            <w:rStyle w:val="701"/>
            <w:rFonts w:eastAsia="Calibri"/>
            <w:b w:val="0"/>
            <w:bCs w:val="0"/>
            <w:sz w:val="24"/>
            <w:szCs w:val="24"/>
            <w:shd w:val="clear" w:color="auto" w:fill="ffffff"/>
          </w:rPr>
          <w:t xml:space="preserve"> району, м. Києва за кодом CPV за ЄЗС ДК 021:2015: 45110000-1 </w:t>
        </w:r>
        <w:r>
          <w:rPr>
            <w:rStyle w:val="690"/>
            <w:b w:val="0"/>
            <w:bCs w:val="0"/>
            <w:color w:val="auto"/>
            <w:sz w:val="24"/>
            <w:szCs w:val="24"/>
            <w:u w:val="none"/>
          </w:rPr>
          <w:t xml:space="preserve">Руйнування та знесення будівель і земляні роботи</w:t>
        </w:r>
        <w:r>
          <w:rPr>
            <w:rStyle w:val="690"/>
            <w:b w:val="0"/>
            <w:bCs w:val="0"/>
            <w:color w:val="auto"/>
            <w:sz w:val="24"/>
            <w:szCs w:val="24"/>
            <w:u w:val="none"/>
          </w:rPr>
          <w:t xml:space="preserve"> </w:t>
        </w:r>
      </w:hyperlink>
      <w:r/>
      <w:r/>
    </w:p>
    <w:p>
      <w:pPr>
        <w:jc w:val="both"/>
        <w:rPr>
          <w:rStyle w:val="690"/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27-000516-а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bookmarkStart w:id="0" w:name="_Hlk133583335"/>
      <w:r/>
      <w:bookmarkEnd w:id="0"/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ІНФОРМАЦІЯ ПРО НЕОБХІДНІ ТЕХНІЧНІ, ЯКІСНІ ТА КІЛЬКІСНІ ХАРАКТЕРИСТИКИ ПРЕДМЕТА ЗАКУПІВЛІ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</w:r>
      <w:r/>
    </w:p>
    <w:p>
      <w:pPr>
        <w:pStyle w:val="677"/>
        <w:jc w:val="center"/>
        <w:spacing w:before="0" w:beforeAutospacing="0" w:after="0" w:afterAutospacing="0"/>
        <w:shd w:val="clear" w:color="auto" w:fill="ffffff" w:themeFill="background1"/>
        <w:rPr>
          <w:rStyle w:val="690"/>
          <w:color w:val="auto"/>
          <w:sz w:val="24"/>
          <w:szCs w:val="24"/>
          <w:u w:val="none"/>
        </w:rPr>
      </w:pPr>
      <w:r/>
      <w:hyperlink r:id="rId12" w:tooltip="https://www.dzo.com.ua/tenders/17227183" w:history="1">
        <w:r>
          <w:rPr>
            <w:rStyle w:val="690"/>
            <w:color w:val="auto"/>
            <w:sz w:val="24"/>
            <w:szCs w:val="24"/>
            <w:u w:val="none"/>
          </w:rPr>
          <w:t xml:space="preserve">Послуги благоустрою території</w:t>
        </w:r>
        <w:r>
          <w:rPr>
            <w:rStyle w:val="701"/>
            <w:rFonts w:eastAsia="Calibri"/>
            <w:sz w:val="24"/>
            <w:szCs w:val="24"/>
            <w:shd w:val="clear" w:color="auto" w:fill="ffffff"/>
          </w:rPr>
          <w:t xml:space="preserve"> на об’єкті ДУ ЦІТ МВС України, за </w:t>
        </w:r>
        <w:r>
          <w:rPr>
            <w:rStyle w:val="701"/>
            <w:rFonts w:eastAsia="Calibri"/>
            <w:sz w:val="24"/>
            <w:szCs w:val="24"/>
            <w:shd w:val="clear" w:color="auto" w:fill="ffffff"/>
          </w:rPr>
          <w:t xml:space="preserve">адресою</w:t>
        </w:r>
        <w:r>
          <w:rPr>
            <w:rStyle w:val="701"/>
            <w:rFonts w:eastAsia="Calibri"/>
            <w:sz w:val="24"/>
            <w:szCs w:val="24"/>
            <w:shd w:val="clear" w:color="auto" w:fill="ffffff"/>
          </w:rPr>
          <w:t xml:space="preserve">: вул. Волинська, 26 </w:t>
        </w:r>
        <w:r>
          <w:rPr>
            <w:rStyle w:val="701"/>
            <w:rFonts w:eastAsia="Calibri"/>
            <w:sz w:val="24"/>
            <w:szCs w:val="24"/>
            <w:shd w:val="clear" w:color="auto" w:fill="ffffff"/>
          </w:rPr>
          <w:t xml:space="preserve">Слом’янського</w:t>
        </w:r>
        <w:r>
          <w:rPr>
            <w:rStyle w:val="701"/>
            <w:rFonts w:eastAsia="Calibri"/>
            <w:sz w:val="24"/>
            <w:szCs w:val="24"/>
            <w:shd w:val="clear" w:color="auto" w:fill="ffffff"/>
          </w:rPr>
          <w:t xml:space="preserve"> району, м. Києва за кодом CPV за ЄЗС ДК 021:2015: 45110000-1 </w:t>
        </w:r>
        <w:r>
          <w:rPr>
            <w:rStyle w:val="690"/>
            <w:color w:val="auto"/>
            <w:sz w:val="24"/>
            <w:szCs w:val="24"/>
            <w:u w:val="none"/>
          </w:rPr>
          <w:t xml:space="preserve">Руйнування та знесення будівель і земляні роботи</w:t>
        </w:r>
        <w:r>
          <w:rPr>
            <w:rStyle w:val="690"/>
            <w:color w:val="auto"/>
            <w:sz w:val="24"/>
            <w:szCs w:val="24"/>
            <w:u w:val="none"/>
          </w:rPr>
          <w:t xml:space="preserve"> </w:t>
        </w:r>
      </w:hyperlink>
      <w:r/>
      <w:r/>
    </w:p>
    <w:p>
      <w:pPr>
        <w:pStyle w:val="677"/>
        <w:spacing w:before="0" w:beforeAutospacing="0" w:after="0" w:afterAutospacing="0"/>
        <w:shd w:val="clear" w:color="auto" w:fill="ffffff" w:themeFill="background1"/>
        <w:rPr>
          <w:rStyle w:val="690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/>
    </w:p>
    <w:p>
      <w:pPr>
        <w:pStyle w:val="677"/>
        <w:jc w:val="center"/>
        <w:spacing w:before="0" w:beforeAutospacing="0" w:after="0" w:afterAutospacing="0"/>
        <w:shd w:val="clear" w:color="auto" w:fill="ffffff" w:themeFill="background1"/>
        <w:rPr>
          <w:rStyle w:val="690"/>
          <w:color w:val="000000"/>
          <w:sz w:val="24"/>
          <w:szCs w:val="24"/>
        </w:rPr>
      </w:pPr>
      <w:r>
        <w:rPr>
          <w:rStyle w:val="690"/>
          <w:color w:val="000000"/>
          <w:sz w:val="24"/>
          <w:szCs w:val="24"/>
        </w:rPr>
        <w:t xml:space="preserve">ТЕХНІЧНІ ВИМОГИ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418"/>
        <w:gridCol w:w="1418"/>
        <w:gridCol w:w="1418"/>
      </w:tblGrid>
      <w:tr>
        <w:trPr>
          <w:jc w:val="center"/>
        </w:trPr>
        <w:tc>
          <w:tcPr>
            <w:tcBorders>
              <w:top w:val="single" w:color="auto" w:sz="12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№</w:t>
            </w:r>
            <w:r/>
          </w:p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Ч.ч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</w:t>
            </w:r>
            <w:r/>
          </w:p>
        </w:tc>
        <w:tc>
          <w:tcPr>
            <w:tcBorders>
              <w:top w:val="single" w:color="auto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</w:r>
            <w:r/>
          </w:p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Найменування робіт і витрат</w:t>
            </w:r>
            <w:r/>
          </w:p>
        </w:tc>
        <w:tc>
          <w:tcPr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Одиниця</w:t>
            </w:r>
            <w:r/>
          </w:p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виміру</w:t>
            </w:r>
            <w:r/>
          </w:p>
        </w:tc>
        <w:tc>
          <w:tcPr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Кількість</w:t>
            </w:r>
            <w:r/>
          </w:p>
        </w:tc>
        <w:tc>
          <w:tcPr>
            <w:tcBorders>
              <w:top w:val="single" w:color="auto" w:sz="12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Примітка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5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Розділ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№1. 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Демонтажні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роботи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Розбирання асфальтобетонних покриттів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механізованим способом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м3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24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Навантаження сміття вручну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38,4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Перевезення асфальту, від розбирання самоскидами на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вiдстань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22 км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38,4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Демонтаж залізобетонної огорожі з панелей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134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5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Навантаження сміття вручну (залізобетонні стовпи та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залізобетонна огорожа)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52,7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6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Перевезення сміття до 30 км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52,7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Розділ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№2. 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Улаштування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ФЕМ 350 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7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Улаштування дорожніх корит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коритного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профілю з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застосуванням екскаваторів, глибина корита до 500 мм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350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8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Перевезення ґрунту до 30 км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200,9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9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Улаштування підстильних та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вирівнювальних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шарів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основи з піску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м3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35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10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Улаштування підстильних та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вирівнювальних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шарів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основи із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щебеню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шлакового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м3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70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11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Улаштування основ та покриттів з відсіву, верхній шар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товщиною 10 см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350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12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 кожний 1 см зміни товщини шару основи та покриття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 відсіву вилучати до товщини 5 см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-350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13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Улаштування покриттів з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дрібнорозмірних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фігурних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елементів мощення [ФЭМ]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350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Розділ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№3. 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Озеленення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14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Планування площ ручним способом, група ґрунту 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450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15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Підготовка ґрунту для влаштування партерного та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звичайного газонів вручну з внесенням рослинної землі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шаром 15 см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450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16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Підготовка вручну стандартних місць для садіння кущів-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саджанців у групи з додаванням рослинної землі до 25%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ям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17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Садіння кущів-саджанців у групи в ями розміром 0,5х0,5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Розділ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№4. 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Склад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№1(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Демонтаж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)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18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Розбирання надземної частини цегляних сараїв зі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збереженням придатних матеріалів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992,66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4" w:h="16834" w:orient="portrait"/>
          <w:pgMar w:top="850" w:right="850" w:bottom="567" w:left="1134" w:header="709" w:footer="197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418"/>
        <w:gridCol w:w="1418"/>
        <w:gridCol w:w="1418"/>
      </w:tblGrid>
      <w:tr>
        <w:trPr>
          <w:jc w:val="center"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5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19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Навантаження сміття екскаваторами на автомобілі-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самоскиди, місткість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ковша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екскаватора 0,5 м3.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432,307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20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Перевезення  будівельного сміття самоскидами на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вiдстань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30 км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432,307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Розділ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№5. 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Лівньовка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4шт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21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Розроблення ґрунту у відвал екскаваторами "драглайн"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або "зворотна лопата" з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ковшом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місткістю 0,4 [0,3-0,45]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м3, група ґрунтів 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м3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84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22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[Доробка вручну, зачистка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дна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стiнок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вручну з викидом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грунту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 котлованах i траншеях, розроблених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механiзованим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способом]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м3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23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Улаштування піщаної основи під трубопроводи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м3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24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Укладання трубопроводів із поліетиленових труб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діаметром 110 мм з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гідравличним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випробуванням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70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25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Засипка траншей і котлованів бульдозерами потужністю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59 кВт [80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к.с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.] з переміщенням ґрунту до 5 м, група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ґрунтів 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м3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56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26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Улаштування поздовжніх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дренажів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із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трубофільтрів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по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краях проїжджої частини або уздовж укріпних смуг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Розділ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№6. 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Проїзд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235 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27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Розбирання асфальтобетонних покриттів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механізованим способом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м3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14,1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28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Навантаження сміття екскаваторами на автомобілі-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самоскиди, місткість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ковша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екскаватора 0,25 м3.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22,56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29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Перевезення  будівельного сміття самоскидами на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вiдстань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30 км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22,56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30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Улаштування дорожніх корит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коритного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профілю з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застосуванням екскаваторів, глибина корита до 250 мм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235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31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Перевезення ґрунту до 30 км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65,8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32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Улаштування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пiдстильних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та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вирiвнювальних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шарiв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основи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iз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щебеню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м3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47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33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Нарізання щілин в асфальтобетонному покритті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баровою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установкою БМ-271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35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34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Улаштування покриття товщиною 4 см з гарячих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асфальтобетонних сумішей  вручну з ущільненням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самохідними  котками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235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35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 кожні 0,5 см зміни товщини шару додавати до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товщини 6 см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235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Розділ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№7. 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Улаштування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поребриків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----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камені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бортові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поребрик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) БР100.20.8 ----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36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Установлення бетонних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поребриків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на бетонну основу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80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Розділ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№8. 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Улаштування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бортових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каменів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37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Установлення бортових каменів бетонних і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залізобетонних при інших видах покриттів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120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Розділ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№9. 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Склад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№2(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Демонтаж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)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38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Розбирання надземної частини цегляних сараїв без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збереження придатних матеріалів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379,64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39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Навантаження сміття екскаваторами на автомобілі-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самоскиди, місткість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ковша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екскаватора 0,5 м3.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307,725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40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Перевезення  будівельного сміття самоскидами на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вiдстань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30 км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307,725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538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Розділ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№10.  НАВІС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41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Розбирання покриттів покрівлі з хвилястих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азбестоцементних листів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65,12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42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Демонтаж металоконструкцій покриттів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0,45136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43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(Демонтаж) Монтаж опор вільно стоячих висотою до 25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0,8586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44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Розбирання бетонних фундаментів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м3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78,97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45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Навантаження сміття екскаваторами на автомобілі-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самоскиди, місткість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ковша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екскаватора 0,5 м3.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189,528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4" w:h="16834" w:orient="portrait"/>
          <w:pgMar w:top="850" w:right="850" w:bottom="567" w:left="1134" w:header="709" w:footer="197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1027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1"/>
        <w:gridCol w:w="5423"/>
        <w:gridCol w:w="1427"/>
        <w:gridCol w:w="1427"/>
        <w:gridCol w:w="1427"/>
      </w:tblGrid>
      <w:tr>
        <w:trPr>
          <w:jc w:val="center"/>
          <w:trHeight w:val="168"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W w:w="57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426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W w:w="1428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5</w:t>
            </w:r>
            <w:r/>
          </w:p>
        </w:tc>
      </w:tr>
      <w:tr>
        <w:trPr>
          <w:jc w:val="center"/>
          <w:trHeight w:val="348"/>
        </w:trPr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4" w:space="0"/>
            </w:tcBorders>
            <w:tcW w:w="571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46</w:t>
            </w:r>
            <w:r/>
          </w:p>
        </w:tc>
        <w:tc>
          <w:tcPr>
            <w:tcW w:w="5426" w:type="dxa"/>
            <w:textDirection w:val="lrTb"/>
            <w:noWrap w:val="false"/>
          </w:tcPr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Перевезення  будівельного сміття самоскидами на</w:t>
            </w:r>
            <w:r/>
          </w:p>
          <w:p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вiдстань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30 км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189,528</w:t>
            </w:r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12" w:space="0"/>
            </w:tcBorders>
            <w:tcW w:w="1428" w:type="dxa"/>
            <w:textDirection w:val="lrTb"/>
            <w:noWrap w:val="false"/>
          </w:tcPr>
          <w:p>
            <w:pPr>
              <w:jc w:val="center"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pStyle w:val="685"/>
        <w:jc w:val="both"/>
        <w:spacing w:after="0" w:line="240" w:lineRule="auto"/>
      </w:pPr>
      <w:r>
        <w:rPr>
          <w:color w:val="000000"/>
        </w:rPr>
        <w:t xml:space="preserve">Кошторисна документація має бути розрахована та виконана згідно КНУ «Настанова з визначення вартості будівництва» затвердженої Наказом </w:t>
      </w:r>
      <w:r>
        <w:rPr>
          <w:color w:val="000000"/>
        </w:rPr>
        <w:t xml:space="preserve">Мінрегіону</w:t>
      </w:r>
      <w:r>
        <w:rPr>
          <w:color w:val="000000"/>
        </w:rPr>
        <w:t xml:space="preserve"> від 01.11.2021 № 281, за допомогою програмного комплексу АВК-5 останньої версії, або аналогу (пропечатана та підписана організацією учасником) у складі:</w:t>
      </w:r>
      <w:r/>
    </w:p>
    <w:p>
      <w:pPr>
        <w:ind w:firstLine="567"/>
        <w:jc w:val="both"/>
        <w:spacing w:line="240" w:lineRule="auto"/>
        <w:tabs>
          <w:tab w:val="left" w:pos="10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договірна ціна з пояснювальною запискою (до договірної ціни повинні бути надані підтверджуючі розрахунки за статтями витрат договірної ціни);</w:t>
      </w:r>
      <w:r/>
    </w:p>
    <w:p>
      <w:pPr>
        <w:ind w:firstLine="567"/>
        <w:jc w:val="both"/>
        <w:spacing w:line="240" w:lineRule="auto"/>
        <w:tabs>
          <w:tab w:val="left" w:pos="10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зведений кошторисний розрахунок;</w:t>
      </w:r>
      <w:r/>
    </w:p>
    <w:p>
      <w:pPr>
        <w:ind w:firstLine="567"/>
        <w:jc w:val="both"/>
        <w:spacing w:line="240" w:lineRule="auto"/>
        <w:tabs>
          <w:tab w:val="left" w:pos="10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локальні кошториси, в тому числі і на устаткування та перелік локальних кошторисів (у разі необхідності);</w:t>
      </w:r>
      <w:r/>
    </w:p>
    <w:p>
      <w:pPr>
        <w:ind w:firstLine="567"/>
        <w:jc w:val="both"/>
        <w:spacing w:line="240" w:lineRule="auto"/>
        <w:tabs>
          <w:tab w:val="left" w:pos="10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підсумкова відомість ресурсів;</w:t>
      </w:r>
      <w:r/>
    </w:p>
    <w:p>
      <w:pPr>
        <w:ind w:firstLine="567"/>
        <w:jc w:val="both"/>
        <w:spacing w:line="240" w:lineRule="auto"/>
        <w:tabs>
          <w:tab w:val="left" w:pos="10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розрахунок величини адміністративних витрат;</w:t>
      </w:r>
      <w:r/>
    </w:p>
    <w:p>
      <w:pPr>
        <w:ind w:firstLine="567"/>
        <w:jc w:val="both"/>
        <w:spacing w:line="240" w:lineRule="auto"/>
        <w:tabs>
          <w:tab w:val="left" w:pos="10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розрахунок очікуваного прибутку;</w:t>
      </w:r>
      <w:r/>
    </w:p>
    <w:p>
      <w:pPr>
        <w:ind w:firstLine="567"/>
        <w:jc w:val="both"/>
        <w:spacing w:line="240" w:lineRule="auto"/>
        <w:tabs>
          <w:tab w:val="left" w:pos="10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розрахунок кошторисної заробітної плати;</w:t>
      </w:r>
      <w:r/>
    </w:p>
    <w:p>
      <w:pPr>
        <w:ind w:right="23" w:firstLine="567"/>
        <w:jc w:val="both"/>
        <w:spacing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розрахунок показників фактичних загальновиробничих витрат розрахунково-аналітичним методом за попередній звітний період (за минулий календарний рік) за даними бухгалтерського обліку та загальної нормативно-розрахункової трудомісткості виконаних </w:t>
      </w:r>
      <w:r>
        <w:rPr>
          <w:rFonts w:ascii="Times New Roman" w:hAnsi="Times New Roman" w:cs="Times New Roman"/>
          <w:sz w:val="24"/>
          <w:szCs w:val="24"/>
        </w:rPr>
        <w:t xml:space="preserve">робіт.Учасник</w:t>
      </w:r>
      <w:r>
        <w:rPr>
          <w:rFonts w:ascii="Times New Roman" w:hAnsi="Times New Roman" w:cs="Times New Roman"/>
          <w:sz w:val="24"/>
          <w:szCs w:val="24"/>
        </w:rPr>
        <w:t xml:space="preserve"> повинен надавати послуги, що є предметом закупівлі, в обсягах та у строки, які визначені Замовником – до 15.05.2023.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Учасники повинні надати у складі пропозицій документи, які підтверджують відповідність пропозиції учасника технічним, якісним, кількісним та іншим вимогам до предмета закупівлі, встановленим Замовником.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підтвердження відповідності пропозиції технічним, якісним, кількісним та іншим вимогам замовника, учасник у складі пропозиції повинен надати</w:t>
      </w:r>
      <w:r>
        <w:rPr>
          <w:rFonts w:ascii="Times New Roman" w:hAnsi="Times New Roman" w:cs="Times New Roman"/>
          <w:i/>
          <w:sz w:val="24"/>
          <w:szCs w:val="24"/>
        </w:rPr>
        <w:t xml:space="preserve">:</w:t>
      </w:r>
      <w:r/>
    </w:p>
    <w:p>
      <w:pPr>
        <w:ind w:right="-108" w:firstLine="567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1) перелік та обсяги послуг згідно з Технічним завданням, яке зазначено в Додатку 5 до Оголошення про проведення процедури закупівлі; </w:t>
      </w:r>
      <w:r/>
    </w:p>
    <w:p>
      <w:pPr>
        <w:contextualSpacing/>
        <w:ind w:left="34" w:right="113"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у складі пропозиції надається інформація стосовно гарантійного строку на надані послуги.</w:t>
      </w:r>
      <w:r/>
    </w:p>
    <w:p>
      <w:pPr>
        <w:contextualSpacing/>
        <w:ind w:left="34" w:right="113"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SimSun" w:cs="Times New Roman"/>
          <w:sz w:val="24"/>
          <w:szCs w:val="24"/>
          <w:lang w:eastAsia="uk-UA"/>
        </w:rPr>
        <w:t xml:space="preserve">3) гарантійний лист</w:t>
      </w:r>
      <w:r>
        <w:rPr>
          <w:rFonts w:ascii="Times New Roman" w:hAnsi="Times New Roman" w:eastAsia="SimSun" w:cs="Times New Roman"/>
          <w:sz w:val="24"/>
          <w:szCs w:val="24"/>
          <w:lang w:eastAsia="uk-UA"/>
        </w:rPr>
        <w:t xml:space="preserve">, в якому учасник гарантує замовнику надати послуги якісно у кількості та в терміни, встановлені замовником, а також необхідно зазначити, що матеріали та вироби, від яких залежить якість наданих послуг, будуть відповідати вимогам нормативно-правових актів.</w:t>
      </w:r>
      <w:r/>
    </w:p>
    <w:p>
      <w:pPr>
        <w:contextualSpacing/>
        <w:ind w:left="34" w:right="113"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 xml:space="preserve">надати у складі пропозиції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копію чинної ліцензії </w:t>
      </w:r>
      <w:r>
        <w:rPr>
          <w:rFonts w:ascii="Times New Roman" w:hAnsi="Times New Roman" w:cs="Times New Roman"/>
          <w:sz w:val="24"/>
          <w:szCs w:val="24"/>
        </w:rPr>
        <w:t xml:space="preserve">або документа дозвільного характеру (у разі їх наявності) на провадження певного виду господарської діяльності, якщо отримання дозволу або ліцензії на провадження такого виду діяльності передбачено законодавством.</w:t>
      </w:r>
      <w:r/>
    </w:p>
    <w:p>
      <w:pPr>
        <w:ind w:firstLine="567"/>
        <w:jc w:val="both"/>
        <w:spacing w:line="240" w:lineRule="auto"/>
        <w:tabs>
          <w:tab w:val="left" w:pos="10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 xml:space="preserve">Гарантійний ли</w:t>
      </w:r>
      <w:r>
        <w:rPr>
          <w:rFonts w:ascii="Times New Roman" w:hAnsi="Times New Roman" w:cs="Times New Roman"/>
          <w:sz w:val="24"/>
          <w:szCs w:val="24"/>
        </w:rPr>
        <w:t xml:space="preserve">ст про те, що надання послуг буде провадитися із врахуванням екологічних вимог встановлених законодавством України” та передбачати усі заходи спрямовані із захисту довкілля при постачанні товарів (наданні послуг, виконанні робіт), що є предметом закупівлі.</w:t>
      </w:r>
      <w:r/>
    </w:p>
    <w:p>
      <w:pPr>
        <w:ind w:firstLine="567"/>
        <w:jc w:val="both"/>
        <w:spacing w:line="240" w:lineRule="auto"/>
        <w:tabs>
          <w:tab w:val="left" w:pos="1277" w:leader="none"/>
        </w:tabs>
        <w:rPr>
          <w:rFonts w:ascii="Times New Roman" w:hAnsi="Times New Roman" w:eastAsia="Helvetica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uk-UA"/>
        </w:rPr>
        <w:t xml:space="preserve">6) </w:t>
      </w:r>
      <w:r>
        <w:rPr>
          <w:rFonts w:ascii="Times New Roman" w:hAnsi="Times New Roman" w:eastAsia="Helvetica" w:cs="Times New Roman"/>
          <w:sz w:val="24"/>
          <w:szCs w:val="24"/>
          <w:lang w:eastAsia="zh-CN"/>
        </w:rPr>
        <w:t xml:space="preserve">Учасник повинен мати власну чи залучену випробувальну (ні) дорожню (ні) лабораторію (ї) для проведення вхідного та операційного контролю (далі - вимірювальна </w:t>
      </w:r>
      <w:r>
        <w:rPr>
          <w:rFonts w:ascii="Times New Roman" w:hAnsi="Times New Roman" w:eastAsia="Helvetica" w:cs="Times New Roman"/>
          <w:sz w:val="24"/>
          <w:szCs w:val="24"/>
          <w:lang w:eastAsia="zh-CN"/>
        </w:rPr>
        <w:t xml:space="preserve">лабораторія), яка спроможна виконувати контроль якості будівельних матеріалів, виробів і конструкцій, які необхідні для надання послуг, що є предметом закупівлі.</w:t>
      </w:r>
      <w:r/>
    </w:p>
    <w:p>
      <w:pPr>
        <w:ind w:firstLine="567"/>
        <w:jc w:val="both"/>
        <w:spacing w:line="240" w:lineRule="auto"/>
        <w:tabs>
          <w:tab w:val="left" w:pos="1277" w:leader="none"/>
        </w:tabs>
        <w:rPr>
          <w:rFonts w:ascii="Times New Roman" w:hAnsi="Times New Roman" w:eastAsia="Helvetica" w:cs="Times New Roman"/>
          <w:sz w:val="24"/>
          <w:szCs w:val="24"/>
          <w:lang w:eastAsia="zh-CN"/>
        </w:rPr>
      </w:pPr>
      <w:r>
        <w:rPr>
          <w:rFonts w:ascii="Times New Roman" w:hAnsi="Times New Roman" w:eastAsia="Helvetica" w:cs="Times New Roman"/>
          <w:sz w:val="24"/>
          <w:szCs w:val="24"/>
          <w:lang w:eastAsia="zh-CN"/>
        </w:rPr>
        <w:t xml:space="preserve">Для документального підтвердження наявності вимірювальної(-</w:t>
      </w:r>
      <w:r>
        <w:rPr>
          <w:rFonts w:ascii="Times New Roman" w:hAnsi="Times New Roman" w:eastAsia="Helvetica" w:cs="Times New Roman"/>
          <w:sz w:val="24"/>
          <w:szCs w:val="24"/>
          <w:lang w:eastAsia="zh-CN"/>
        </w:rPr>
        <w:t xml:space="preserve">их</w:t>
      </w:r>
      <w:r>
        <w:rPr>
          <w:rFonts w:ascii="Times New Roman" w:hAnsi="Times New Roman" w:eastAsia="Helvetica" w:cs="Times New Roman"/>
          <w:sz w:val="24"/>
          <w:szCs w:val="24"/>
          <w:lang w:eastAsia="zh-CN"/>
        </w:rPr>
        <w:t xml:space="preserve">) лабораторії (-й) Учасник повинен надати:</w:t>
      </w:r>
      <w:r/>
    </w:p>
    <w:p>
      <w:pPr>
        <w:ind w:firstLine="567"/>
        <w:jc w:val="both"/>
        <w:spacing w:line="240" w:lineRule="auto"/>
        <w:tabs>
          <w:tab w:val="left" w:pos="1277" w:leader="none"/>
        </w:tabs>
        <w:rPr>
          <w:rFonts w:ascii="Times New Roman" w:hAnsi="Times New Roman" w:eastAsia="Helvetica" w:cs="Times New Roman"/>
          <w:sz w:val="24"/>
          <w:szCs w:val="24"/>
          <w:lang w:eastAsia="zh-CN"/>
        </w:rPr>
      </w:pPr>
      <w:r>
        <w:rPr>
          <w:rFonts w:ascii="Times New Roman" w:hAnsi="Times New Roman" w:eastAsia="Helvetica" w:cs="Times New Roman"/>
          <w:sz w:val="24"/>
          <w:szCs w:val="24"/>
          <w:lang w:eastAsia="zh-CN"/>
        </w:rPr>
        <w:t xml:space="preserve">- довідку в довільній формі про наявність вимірювальної (</w:t>
      </w:r>
      <w:r>
        <w:rPr>
          <w:rFonts w:ascii="Times New Roman" w:hAnsi="Times New Roman" w:eastAsia="Helvetica" w:cs="Times New Roman"/>
          <w:sz w:val="24"/>
          <w:szCs w:val="24"/>
          <w:lang w:eastAsia="zh-CN"/>
        </w:rPr>
        <w:t xml:space="preserve">их</w:t>
      </w:r>
      <w:r>
        <w:rPr>
          <w:rFonts w:ascii="Times New Roman" w:hAnsi="Times New Roman" w:eastAsia="Helvetica" w:cs="Times New Roman"/>
          <w:sz w:val="24"/>
          <w:szCs w:val="24"/>
          <w:lang w:eastAsia="zh-CN"/>
        </w:rPr>
        <w:t xml:space="preserve">) лабораторії (й) у Учасника;</w:t>
      </w:r>
      <w:r/>
    </w:p>
    <w:p>
      <w:pPr>
        <w:ind w:firstLine="567"/>
        <w:jc w:val="both"/>
        <w:spacing w:line="240" w:lineRule="auto"/>
        <w:tabs>
          <w:tab w:val="left" w:pos="1277" w:leader="none"/>
        </w:tabs>
        <w:rPr>
          <w:rFonts w:ascii="Times New Roman" w:hAnsi="Times New Roman" w:eastAsia="Helvetica" w:cs="Times New Roman"/>
          <w:sz w:val="24"/>
          <w:szCs w:val="24"/>
          <w:lang w:eastAsia="zh-CN"/>
        </w:rPr>
      </w:pPr>
      <w:r>
        <w:rPr>
          <w:rFonts w:ascii="Times New Roman" w:hAnsi="Times New Roman" w:eastAsia="Helvetica" w:cs="Times New Roman"/>
          <w:sz w:val="24"/>
          <w:szCs w:val="24"/>
          <w:lang w:eastAsia="zh-CN"/>
        </w:rPr>
        <w:t xml:space="preserve">- копія чинного договору з усіма додатками та невід'ємними частинами до договору про залучення сторонньої (</w:t>
      </w:r>
      <w:r>
        <w:rPr>
          <w:rFonts w:ascii="Times New Roman" w:hAnsi="Times New Roman" w:eastAsia="Helvetica" w:cs="Times New Roman"/>
          <w:sz w:val="24"/>
          <w:szCs w:val="24"/>
          <w:lang w:eastAsia="zh-CN"/>
        </w:rPr>
        <w:t xml:space="preserve">іх</w:t>
      </w:r>
      <w:r>
        <w:rPr>
          <w:rFonts w:ascii="Times New Roman" w:hAnsi="Times New Roman" w:eastAsia="Helvetica" w:cs="Times New Roman"/>
          <w:sz w:val="24"/>
          <w:szCs w:val="24"/>
          <w:lang w:eastAsia="zh-CN"/>
        </w:rPr>
        <w:t xml:space="preserve">) вимірювальної (</w:t>
      </w:r>
      <w:r>
        <w:rPr>
          <w:rFonts w:ascii="Times New Roman" w:hAnsi="Times New Roman" w:eastAsia="Helvetica" w:cs="Times New Roman"/>
          <w:sz w:val="24"/>
          <w:szCs w:val="24"/>
          <w:lang w:eastAsia="zh-CN"/>
        </w:rPr>
        <w:t xml:space="preserve">их</w:t>
      </w:r>
      <w:r>
        <w:rPr>
          <w:rFonts w:ascii="Times New Roman" w:hAnsi="Times New Roman" w:eastAsia="Helvetica" w:cs="Times New Roman"/>
          <w:sz w:val="24"/>
          <w:szCs w:val="24"/>
          <w:lang w:eastAsia="zh-CN"/>
        </w:rPr>
        <w:t xml:space="preserve">) лабораторії (й) Учасником (надається щодо залученої (</w:t>
      </w:r>
      <w:r>
        <w:rPr>
          <w:rFonts w:ascii="Times New Roman" w:hAnsi="Times New Roman" w:eastAsia="Helvetica" w:cs="Times New Roman"/>
          <w:sz w:val="24"/>
          <w:szCs w:val="24"/>
          <w:lang w:eastAsia="zh-CN"/>
        </w:rPr>
        <w:t xml:space="preserve">их</w:t>
      </w:r>
      <w:r>
        <w:rPr>
          <w:rFonts w:ascii="Times New Roman" w:hAnsi="Times New Roman" w:eastAsia="Helvetica" w:cs="Times New Roman"/>
          <w:sz w:val="24"/>
          <w:szCs w:val="24"/>
          <w:lang w:eastAsia="zh-CN"/>
        </w:rPr>
        <w:t xml:space="preserve">) лабораторії (й));</w:t>
      </w:r>
      <w:r/>
    </w:p>
    <w:p>
      <w:pPr>
        <w:ind w:firstLine="567"/>
        <w:jc w:val="both"/>
        <w:spacing w:line="240" w:lineRule="auto"/>
        <w:tabs>
          <w:tab w:val="left" w:pos="1277" w:leader="none"/>
        </w:tabs>
        <w:rPr>
          <w:rFonts w:ascii="Times New Roman" w:hAnsi="Times New Roman" w:eastAsia="Helvetica" w:cs="Times New Roman"/>
          <w:sz w:val="24"/>
          <w:szCs w:val="24"/>
          <w:lang w:eastAsia="zh-CN"/>
        </w:rPr>
      </w:pPr>
      <w:r>
        <w:rPr>
          <w:rFonts w:ascii="Times New Roman" w:hAnsi="Times New Roman" w:eastAsia="Helvetica" w:cs="Times New Roman"/>
          <w:sz w:val="24"/>
          <w:szCs w:val="24"/>
          <w:lang w:eastAsia="zh-CN"/>
        </w:rPr>
        <w:t xml:space="preserve">- гарантійн</w:t>
      </w:r>
      <w:r>
        <w:rPr>
          <w:rFonts w:ascii="Times New Roman" w:hAnsi="Times New Roman" w:eastAsia="Helvetica" w:cs="Times New Roman"/>
          <w:sz w:val="24"/>
          <w:szCs w:val="24"/>
          <w:lang w:eastAsia="zh-CN"/>
        </w:rPr>
        <w:t xml:space="preserve">ий лист Учасника або власника (у разі залучення) про те, що під час надання послуг вимірювальна (і) лабораторія (ї), буде виконувати контроль якості будівельних матеріалів, виробів і конструкцій, які необхідні для виконання робіт, що є предметом закупівлі;</w:t>
      </w:r>
      <w:r/>
    </w:p>
    <w:p>
      <w:pPr>
        <w:contextualSpacing/>
        <w:ind w:left="34" w:right="113" w:firstLine="567"/>
        <w:jc w:val="both"/>
        <w:spacing w:line="240" w:lineRule="auto"/>
        <w:rPr>
          <w:rFonts w:ascii="Times New Roman" w:hAnsi="Times New Roman" w:eastAsia="Helvetica" w:cs="Times New Roman"/>
          <w:sz w:val="24"/>
          <w:szCs w:val="24"/>
          <w:lang w:eastAsia="zh-CN"/>
        </w:rPr>
      </w:pPr>
      <w:r>
        <w:rPr>
          <w:rFonts w:ascii="Times New Roman" w:hAnsi="Times New Roman" w:eastAsia="Helvetica" w:cs="Times New Roman"/>
          <w:sz w:val="24"/>
          <w:szCs w:val="24"/>
          <w:lang w:eastAsia="zh-CN"/>
        </w:rPr>
        <w:t xml:space="preserve">- документ (-и) про відповідність лабораторії вимогам чинного законодавства України (свідоцтво, рішення тощо про атестацію (сертифікацію), що видане компетентним органом та дійсне (чинне) на дату його подання Учасником.</w:t>
      </w:r>
      <w:r/>
    </w:p>
    <w:p>
      <w:pPr>
        <w:contextualSpacing/>
        <w:ind w:left="34" w:right="113" w:firstLine="567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Helvetica" w:cs="Times New Roman"/>
          <w:sz w:val="24"/>
          <w:szCs w:val="24"/>
          <w:lang w:eastAsia="zh-CN"/>
        </w:rPr>
        <w:t xml:space="preserve">7) </w:t>
      </w:r>
      <w:r>
        <w:rPr>
          <w:rFonts w:ascii="Times New Roman" w:hAnsi="Times New Roman" w:cs="Times New Roman"/>
          <w:sz w:val="24"/>
          <w:szCs w:val="24"/>
        </w:rPr>
        <w:t xml:space="preserve">Діючий сертифікат учасника закупівлі на систему управління якістю ISO 9001:2015, 14001:2015 та 45001:2019 на виконання робіт.</w:t>
      </w:r>
      <w:r/>
    </w:p>
    <w:p>
      <w:pPr>
        <w:contextualSpacing/>
        <w:ind w:left="34" w:right="113"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SimSun" w:cs="Times New Roman"/>
          <w:sz w:val="24"/>
          <w:szCs w:val="24"/>
          <w:lang w:eastAsia="uk-UA"/>
        </w:rPr>
        <w:t xml:space="preserve">Переможець повинен надати </w:t>
      </w:r>
      <w:r>
        <w:rPr>
          <w:rFonts w:ascii="Times New Roman" w:hAnsi="Times New Roman" w:cs="Times New Roman"/>
          <w:sz w:val="24"/>
          <w:szCs w:val="24"/>
        </w:rPr>
        <w:t xml:space="preserve">експертну оцінку щодо справедливої вартості суми роботи зазначеної в кошторисній документації. Всі витрати на отримання експертної оцінки Замовником не оплачуються, Учаснику необхідно </w:t>
      </w:r>
      <w:r>
        <w:rPr>
          <w:rFonts w:ascii="Times New Roman" w:hAnsi="Times New Roman" w:cs="Times New Roman"/>
          <w:sz w:val="24"/>
          <w:szCs w:val="24"/>
        </w:rPr>
        <w:t xml:space="preserve">внести</w:t>
      </w:r>
      <w:r>
        <w:rPr>
          <w:rFonts w:ascii="Times New Roman" w:hAnsi="Times New Roman" w:cs="Times New Roman"/>
          <w:sz w:val="24"/>
          <w:szCs w:val="24"/>
        </w:rPr>
        <w:t xml:space="preserve"> вартість такої оцінки до суми тендерної пропозиції. (надати гарантійний лист).</w:t>
      </w:r>
      <w:r/>
    </w:p>
    <w:p>
      <w:pPr>
        <w:contextualSpacing/>
        <w:ind w:left="34" w:right="113"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2 128 204,80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два мільйони сто двадцять вісім тисяч двісті чотири гривні 80 коп.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contextualSpacing/>
        <w:ind w:left="34" w:right="113" w:firstLine="567"/>
        <w:jc w:val="both"/>
        <w:spacing w:line="240" w:lineRule="auto"/>
        <w:rPr>
          <w:rFonts w:ascii="Times New Roman" w:hAnsi="Times New Roman" w:eastAsia="SimSun" w:cs="Times New Roman"/>
          <w:sz w:val="24"/>
          <w:szCs w:val="24"/>
          <w:lang w:eastAsia="uk-UA"/>
        </w:rPr>
      </w:pPr>
      <w:r>
        <w:rPr>
          <w:rFonts w:ascii="Times New Roman" w:hAnsi="Times New Roman" w:eastAsia="SimSun" w:cs="Times New Roman"/>
          <w:sz w:val="24"/>
          <w:szCs w:val="24"/>
          <w:lang w:eastAsia="uk-UA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SimSun">
    <w:panose1 w:val="02020603020101020101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7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7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3"/>
  </w:num>
  <w:num w:numId="6">
    <w:abstractNumId w:val="12"/>
  </w:num>
  <w:num w:numId="7">
    <w:abstractNumId w:val="6"/>
  </w:num>
  <w:num w:numId="8">
    <w:abstractNumId w:val="14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6"/>
    <w:next w:val="67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8"/>
    <w:link w:val="677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6"/>
    <w:next w:val="67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6"/>
    <w:next w:val="67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6"/>
    <w:next w:val="67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6"/>
    <w:next w:val="67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6"/>
    <w:next w:val="67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6"/>
    <w:next w:val="67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6"/>
    <w:next w:val="67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76"/>
    <w:next w:val="67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6"/>
    <w:next w:val="67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6"/>
    <w:next w:val="67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6"/>
    <w:next w:val="67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78"/>
    <w:link w:val="42"/>
    <w:uiPriority w:val="99"/>
  </w:style>
  <w:style w:type="character" w:styleId="45">
    <w:name w:val="Footer Char"/>
    <w:basedOn w:val="678"/>
    <w:link w:val="687"/>
    <w:uiPriority w:val="99"/>
  </w:style>
  <w:style w:type="paragraph" w:styleId="46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7"/>
    <w:uiPriority w:val="99"/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rPr>
      <w:lang w:val="uk-UA"/>
    </w:rPr>
  </w:style>
  <w:style w:type="paragraph" w:styleId="677">
    <w:name w:val="Heading 2"/>
    <w:basedOn w:val="676"/>
    <w:link w:val="696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>
    <w:name w:val="List Paragraph"/>
    <w:basedOn w:val="676"/>
    <w:link w:val="68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82" w:customStyle="1">
    <w:name w:val="Абзац списку Знак"/>
    <w:link w:val="681"/>
    <w:uiPriority w:val="34"/>
    <w:rPr>
      <w:rFonts w:ascii="Calibri" w:hAnsi="Calibri" w:eastAsia="Calibri" w:cs="Calibri"/>
      <w:lang w:eastAsia="zh-CN"/>
    </w:rPr>
  </w:style>
  <w:style w:type="table" w:styleId="683">
    <w:name w:val="Table Grid"/>
    <w:basedOn w:val="67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4" w:customStyle="1">
    <w:name w:val="Сетка таблицы2"/>
    <w:basedOn w:val="679"/>
    <w:next w:val="683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5">
    <w:name w:val="Normal (Web)"/>
    <w:basedOn w:val="676"/>
    <w:link w:val="692"/>
    <w:unhideWhenUsed/>
    <w:qFormat/>
    <w:rPr>
      <w:rFonts w:ascii="Times New Roman" w:hAnsi="Times New Roman" w:cs="Times New Roman"/>
      <w:sz w:val="24"/>
      <w:szCs w:val="24"/>
    </w:rPr>
  </w:style>
  <w:style w:type="table" w:styleId="686" w:customStyle="1">
    <w:name w:val="Сетка таблицы1"/>
    <w:basedOn w:val="679"/>
    <w:next w:val="683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7">
    <w:name w:val="Footer"/>
    <w:basedOn w:val="676"/>
    <w:link w:val="688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88" w:customStyle="1">
    <w:name w:val="Нижній колонтитул Знак"/>
    <w:basedOn w:val="678"/>
    <w:link w:val="687"/>
    <w:uiPriority w:val="99"/>
    <w:rPr>
      <w:rFonts w:ascii="Calibri" w:hAnsi="Calibri" w:eastAsia="Calibri" w:cs="Calibri"/>
      <w:lang w:eastAsia="zh-CN"/>
    </w:rPr>
  </w:style>
  <w:style w:type="paragraph" w:styleId="689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0">
    <w:name w:val="Hyperlink"/>
    <w:basedOn w:val="678"/>
    <w:uiPriority w:val="99"/>
    <w:unhideWhenUsed/>
    <w:rPr>
      <w:color w:val="0563c1" w:themeColor="hyperlink"/>
      <w:u w:val="single"/>
    </w:rPr>
  </w:style>
  <w:style w:type="character" w:styleId="691" w:customStyle="1">
    <w:name w:val="xfm_93972720"/>
    <w:basedOn w:val="678"/>
  </w:style>
  <w:style w:type="character" w:styleId="692" w:customStyle="1">
    <w:name w:val="Звичайний (веб) Знак"/>
    <w:link w:val="685"/>
    <w:uiPriority w:val="99"/>
    <w:qFormat/>
    <w:rPr>
      <w:rFonts w:ascii="Times New Roman" w:hAnsi="Times New Roman" w:cs="Times New Roman"/>
      <w:sz w:val="24"/>
      <w:szCs w:val="24"/>
      <w:lang w:val="uk-UA"/>
    </w:rPr>
  </w:style>
  <w:style w:type="paragraph" w:styleId="693">
    <w:name w:val="Body Text 2"/>
    <w:basedOn w:val="676"/>
    <w:link w:val="694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694" w:customStyle="1">
    <w:name w:val="Основний текст 2 Знак"/>
    <w:basedOn w:val="678"/>
    <w:link w:val="693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5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696" w:customStyle="1">
    <w:name w:val="Заголовок 2 Знак"/>
    <w:basedOn w:val="678"/>
    <w:link w:val="677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697">
    <w:name w:val="No Spacing"/>
    <w:link w:val="698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698" w:customStyle="1">
    <w:name w:val="Без інтервалів Знак"/>
    <w:basedOn w:val="678"/>
    <w:link w:val="697"/>
    <w:uiPriority w:val="1"/>
    <w:rPr>
      <w:rFonts w:ascii="Calibri" w:hAnsi="Calibri" w:eastAsia="Calibri" w:cs="Times New Roman"/>
      <w:lang w:val="uk-UA"/>
    </w:rPr>
  </w:style>
  <w:style w:type="character" w:styleId="699" w:customStyle="1">
    <w:name w:val="Другое_"/>
    <w:basedOn w:val="678"/>
    <w:link w:val="700"/>
    <w:rPr>
      <w:rFonts w:ascii="Calibri" w:hAnsi="Calibri" w:eastAsia="Calibri" w:cs="Calibri"/>
      <w:sz w:val="20"/>
      <w:szCs w:val="20"/>
    </w:rPr>
  </w:style>
  <w:style w:type="paragraph" w:styleId="700" w:customStyle="1">
    <w:name w:val="Другое"/>
    <w:basedOn w:val="676"/>
    <w:link w:val="699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character" w:styleId="701" w:customStyle="1">
    <w:name w:val="xfmc1"/>
    <w:basedOn w:val="67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www.dzo.com.ua/tenders/17227183" TargetMode="External"/><Relationship Id="rId12" Type="http://schemas.openxmlformats.org/officeDocument/2006/relationships/hyperlink" Target="https://www.dzo.com.ua/tenders/1722718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105</cp:revision>
  <dcterms:created xsi:type="dcterms:W3CDTF">2022-11-01T12:47:00Z</dcterms:created>
  <dcterms:modified xsi:type="dcterms:W3CDTF">2023-05-30T10:52:51Z</dcterms:modified>
</cp:coreProperties>
</file>