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1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апаратно-програмного комплексу з ліцензіями та встановленням за ДК 021:2015:  32420000-3 Мережеве 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014376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color w:val="000000"/>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bookmarkStart w:id="0" w:name="_Hlk133583335"/>
      <w:r>
        <w:rPr>
          <w:rFonts w:ascii="Times New Roman" w:hAnsi="Times New Roman" w:cs="Times New Roman"/>
          <w:sz w:val="24"/>
          <w:szCs w:val="24"/>
        </w:rPr>
        <w:t xml:space="preserve">Закупівля апаратно-програмного комплексу з ліцензіями та встановленням за ДК 021:2015:  32420000-3 Мережеве обладнання</w:t>
      </w:r>
      <w:bookmarkEnd w:id="0"/>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center"/>
        <w:spacing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Закупівля апаратно-програмного комплексу з ліцензіями та встановленням за ДК 021:2015:  32420000-3 Мережеве обладнання</w:t>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22"/>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24"/>
              <w:jc w:val="center"/>
              <w:rPr>
                <w:b/>
                <w:bCs/>
              </w:rPr>
            </w:pPr>
            <w:r>
              <w:rPr>
                <w:b/>
                <w:bCs/>
              </w:rPr>
              <w:t xml:space="preserve">№ п/п</w:t>
            </w:r>
            <w:r/>
          </w:p>
        </w:tc>
        <w:tc>
          <w:tcPr>
            <w:tcW w:w="5670" w:type="dxa"/>
            <w:textDirection w:val="lrTb"/>
            <w:noWrap w:val="false"/>
          </w:tcPr>
          <w:p>
            <w:pPr>
              <w:pStyle w:val="724"/>
              <w:jc w:val="center"/>
              <w:rPr>
                <w:b/>
                <w:bCs/>
              </w:rPr>
            </w:pPr>
            <w:r>
              <w:rPr>
                <w:b/>
                <w:bCs/>
              </w:rPr>
              <w:t xml:space="preserve">Назва системи</w:t>
            </w:r>
            <w:r/>
          </w:p>
        </w:tc>
        <w:tc>
          <w:tcPr>
            <w:tcW w:w="1701" w:type="dxa"/>
            <w:textDirection w:val="lrTb"/>
            <w:noWrap w:val="false"/>
          </w:tcPr>
          <w:p>
            <w:pPr>
              <w:pStyle w:val="724"/>
              <w:jc w:val="center"/>
              <w:rPr>
                <w:b/>
                <w:bCs/>
              </w:rPr>
            </w:pPr>
            <w:r>
              <w:rPr>
                <w:b/>
                <w:bCs/>
              </w:rPr>
              <w:t xml:space="preserve">Одиниця виміру</w:t>
            </w:r>
            <w:r/>
          </w:p>
        </w:tc>
        <w:tc>
          <w:tcPr>
            <w:tcW w:w="1701" w:type="dxa"/>
            <w:textDirection w:val="lrTb"/>
            <w:noWrap w:val="false"/>
          </w:tcPr>
          <w:p>
            <w:pPr>
              <w:pStyle w:val="724"/>
              <w:jc w:val="center"/>
              <w:rPr>
                <w:b/>
                <w:bCs/>
              </w:rPr>
            </w:pPr>
            <w:r>
              <w:rPr>
                <w:b/>
                <w:bCs/>
              </w:rPr>
              <w:t xml:space="preserve">Кількість</w:t>
            </w:r>
            <w:r/>
          </w:p>
        </w:tc>
      </w:tr>
      <w:tr>
        <w:trPr/>
        <w:tc>
          <w:tcPr>
            <w:tcW w:w="562" w:type="dxa"/>
            <w:vAlign w:val="center"/>
            <w:textDirection w:val="lrTb"/>
            <w:noWrap w:val="false"/>
          </w:tcPr>
          <w:p>
            <w:pPr>
              <w:pStyle w:val="724"/>
              <w:jc w:val="center"/>
            </w:pPr>
            <w:r>
              <w:rPr>
                <w:b/>
                <w:bCs/>
              </w:rPr>
              <w:t xml:space="preserve">1</w:t>
            </w:r>
            <w:r/>
          </w:p>
        </w:tc>
        <w:tc>
          <w:tcPr>
            <w:tcW w:w="5670" w:type="dxa"/>
            <w:textDirection w:val="lrTb"/>
            <w:noWrap w:val="false"/>
          </w:tcPr>
          <w:p>
            <w:pPr>
              <w:pStyle w:val="724"/>
              <w:jc w:val="both"/>
              <w:rPr>
                <w:b/>
                <w:bCs/>
              </w:rPr>
            </w:pPr>
            <w:r>
              <w:rPr>
                <w:b/>
                <w:bCs/>
              </w:rPr>
              <w:t xml:space="preserve">Апаратно-програмний комплекс Центрального регіону</w:t>
            </w:r>
            <w:r/>
          </w:p>
        </w:tc>
        <w:tc>
          <w:tcPr>
            <w:tcW w:w="1701" w:type="dxa"/>
            <w:vAlign w:val="center"/>
            <w:textDirection w:val="lrTb"/>
            <w:noWrap w:val="false"/>
          </w:tcPr>
          <w:p>
            <w:pPr>
              <w:pStyle w:val="724"/>
              <w:jc w:val="center"/>
            </w:pPr>
            <w:r>
              <w:t xml:space="preserve">шт.</w:t>
            </w:r>
            <w:r/>
          </w:p>
        </w:tc>
        <w:tc>
          <w:tcPr>
            <w:tcW w:w="1701" w:type="dxa"/>
            <w:vAlign w:val="center"/>
            <w:textDirection w:val="lrTb"/>
            <w:noWrap w:val="false"/>
          </w:tcPr>
          <w:p>
            <w:pPr>
              <w:pStyle w:val="724"/>
              <w:jc w:val="center"/>
              <w:rPr>
                <w:lang w:val="en-US"/>
              </w:rPr>
            </w:pPr>
            <w:r>
              <w:rPr>
                <w:lang w:val="en-US"/>
              </w:rPr>
              <w:t xml:space="preserve">1</w:t>
            </w:r>
            <w:r/>
          </w:p>
        </w:tc>
      </w:tr>
    </w:tbl>
    <w:p>
      <w:pPr>
        <w:pStyle w:val="724"/>
        <w:jc w:val="both"/>
        <w:spacing w:after="0" w:line="240" w:lineRule="auto"/>
        <w:rPr>
          <w:b/>
          <w:bCs/>
          <w:i/>
          <w:iCs/>
          <w:lang w:eastAsia="ru-RU"/>
        </w:rPr>
      </w:pPr>
      <w:r>
        <w:rPr>
          <w:b/>
          <w:bCs/>
          <w:i/>
          <w:iCs/>
          <w:lang w:eastAsia="ru-RU"/>
        </w:rPr>
      </w:r>
      <w:r/>
    </w:p>
    <w:p>
      <w:pPr>
        <w:pStyle w:val="72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w:t>
      </w:r>
      <w:r>
        <w:rPr>
          <w:b/>
          <w:bCs/>
          <w:i/>
          <w:iCs/>
          <w:lang w:eastAsia="ru-RU"/>
        </w:rPr>
        <w:t xml:space="preserve">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w:t>
      </w:r>
      <w:r>
        <w:rPr>
          <w:b/>
          <w:bCs/>
          <w:i/>
          <w:iCs/>
          <w:lang w:eastAsia="ru-RU"/>
        </w:rPr>
        <w:t xml:space="preserve">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 монтаж, встановлення (введення в експлуатацію) Товару.</w:t>
      </w:r>
      <w:r/>
    </w:p>
    <w:p>
      <w:pPr>
        <w:pStyle w:val="724"/>
        <w:jc w:val="both"/>
        <w:spacing w:after="0" w:line="240" w:lineRule="auto"/>
        <w:rPr>
          <w:b/>
          <w:bCs/>
          <w:i/>
          <w:iCs/>
        </w:rPr>
      </w:pPr>
      <w:r>
        <w:rPr>
          <w:b/>
          <w:bCs/>
          <w:i/>
          <w:iCs/>
        </w:rPr>
      </w:r>
      <w:r/>
    </w:p>
    <w:p>
      <w:pPr>
        <w:pStyle w:val="724"/>
        <w:ind w:firstLine="567"/>
        <w:jc w:val="both"/>
        <w:spacing w:after="0" w:line="240" w:lineRule="auto"/>
        <w:rPr>
          <w:color w:val="000000" w:themeColor="text1"/>
          <w:shd w:val="clear" w:color="auto" w:fill="ffffff"/>
        </w:rPr>
      </w:pPr>
      <w:r/>
      <w:bookmarkStart w:id="1"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Також </w:t>
      </w:r>
      <w:r>
        <w:t xml:space="preserve">обладнання, що постачається, повинно бути новим, і не мати статус EOL/EOS (End-of-Life/End-of-Support)</w:t>
      </w:r>
      <w:r>
        <w:rPr>
          <w:color w:val="000000" w:themeColor="text1"/>
          <w:shd w:val="clear" w:color="auto" w:fill="ffffff"/>
        </w:rPr>
        <w:t xml:space="preserve"> (надати гарантійний лист).</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(надати сканкопії оригіналів сертифікатів (паспортів) на обладнання) у разі необхідності сертифікації даного обладнання.</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проєкту Договору.</w:t>
      </w:r>
      <w:bookmarkStart w:id="2" w:name="_Hlk131682113"/>
      <w:r/>
      <w:bookmarkEnd w:id="1"/>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кінцева перевірка).</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w:t>
      </w:r>
      <w:r>
        <w:rPr>
          <w:rFonts w:ascii="Times New Roman" w:hAnsi="Times New Roman" w:cs="Times New Roman"/>
          <w:sz w:val="24"/>
          <w:szCs w:val="24"/>
        </w:rPr>
        <w:t xml:space="preserve">еобхідні для встановлення та витрати на них, Учаснику необхідно передбачити та внести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2"/>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4 до тендерної документації).</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10.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4 до тендерної документації).</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11. Обладнання, що пропонується Учасником, має бути забезпечене гарантійним/сервісним обслуговуванням від Виробника. (надати гарантійний лист).</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12. Учасник має надати авторизаційний лист від офіційного представництва (чи представника) виробника, що підтверджують повноваження учасника постачати обладнання, передбачене предметом закупівлі. </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13. Обладнання, що пропонуєть</w:t>
      </w:r>
      <w:r>
        <w:rPr>
          <w:rFonts w:ascii="Times New Roman" w:hAnsi="Times New Roman" w:cs="Times New Roman"/>
          <w:sz w:val="24"/>
          <w:szCs w:val="24"/>
        </w:rPr>
        <w:t xml:space="preserve">ся Учасником, обов’язково має бути сумісним з наявним у замовника обладнанням Cisco (надати гарантійний лист, у разі необхідності, Учасник може звернутися до Замовника та за домовленістю відвідати об’єкти Замовника для обстеження на сумісність обладнання).</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14. Усі ліцензії для експлуатації обладнання і пр</w:t>
      </w:r>
      <w:r>
        <w:rPr>
          <w:rFonts w:ascii="Times New Roman" w:hAnsi="Times New Roman" w:cs="Times New Roman"/>
          <w:sz w:val="24"/>
          <w:szCs w:val="24"/>
        </w:rPr>
        <w:t xml:space="preserve">ограмних засобів, що є частиною Товару, повинні бути включені в комплект. Якщо Замовником не передбачено послуг, ліцензій і т.д., що необхідні для функціонування обладнання то Учасник повинен передбачити та поставити дані ліцензії, послуги у складі Товару.</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15. Учасник, який не являється виробником обладнання, повинен бути акредитованим партнером компанії, що виробляє обладнання і мати досвід роботи з обладнанням виробника та його обслуговуванням. (надати підтверджуючі документи).</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0"/>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Style w:val="722"/>
        <w:tblW w:w="9634" w:type="dxa"/>
        <w:tblLook w:val="04A0" w:firstRow="1" w:lastRow="0" w:firstColumn="1" w:lastColumn="0" w:noHBand="0" w:noVBand="1"/>
      </w:tblPr>
      <w:tblGrid>
        <w:gridCol w:w="560"/>
        <w:gridCol w:w="6477"/>
        <w:gridCol w:w="1208"/>
        <w:gridCol w:w="1389"/>
      </w:tblGrid>
      <w:tr>
        <w:trPr/>
        <w:tc>
          <w:tcPr>
            <w:tcW w:w="421" w:type="dxa"/>
            <w:textDirection w:val="lrTb"/>
            <w:noWrap w:val="false"/>
          </w:tcPr>
          <w:p>
            <w:pPr>
              <w:contextualSpacing/>
              <w:jc w:val="both"/>
              <w:rPr>
                <w:rFonts w:ascii="Times New Roman" w:hAnsi="Times New Roman" w:cs="Times New Roman"/>
                <w:b/>
                <w:bCs/>
                <w:sz w:val="24"/>
                <w:szCs w:val="24"/>
              </w:rPr>
            </w:pPr>
            <w:r/>
            <w:bookmarkStart w:id="3" w:name="_Hlk134167923"/>
            <w:r>
              <w:rPr>
                <w:rFonts w:ascii="Times New Roman" w:hAnsi="Times New Roman" w:cs="Times New Roman"/>
                <w:b/>
                <w:bCs/>
                <w:sz w:val="24"/>
                <w:szCs w:val="24"/>
              </w:rPr>
              <w:t xml:space="preserve">№ п/п</w:t>
            </w:r>
            <w:r/>
          </w:p>
        </w:tc>
        <w:tc>
          <w:tcPr>
            <w:tcW w:w="6613"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39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gridSpan w:val="4"/>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Апаратно-програмний комплекс Центрального регіону, </w:t>
            </w:r>
            <w:r>
              <w:rPr>
                <w:rFonts w:ascii="Times New Roman" w:hAnsi="Times New Roman" w:cs="Times New Roman"/>
                <w:i/>
                <w:iCs/>
                <w:sz w:val="24"/>
                <w:szCs w:val="24"/>
              </w:rPr>
              <w:t xml:space="preserve">у складі</w:t>
            </w:r>
            <w:r>
              <w:rPr>
                <w:rFonts w:ascii="Times New Roman" w:hAnsi="Times New Roman" w:cs="Times New Roman"/>
                <w:b/>
                <w:bCs/>
                <w:sz w:val="24"/>
                <w:szCs w:val="24"/>
              </w:rPr>
              <w:t xml:space="preserve">:</w:t>
            </w:r>
            <w:bookmarkEnd w:id="3"/>
            <w:r/>
          </w:p>
        </w:tc>
      </w:tr>
    </w:tbl>
    <w:tbl>
      <w:tblPr>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6"/>
        <w:gridCol w:w="2718"/>
        <w:gridCol w:w="100"/>
        <w:gridCol w:w="3843"/>
        <w:gridCol w:w="141"/>
        <w:gridCol w:w="283"/>
        <w:gridCol w:w="707"/>
        <w:gridCol w:w="145"/>
        <w:gridCol w:w="283"/>
        <w:gridCol w:w="991"/>
      </w:tblGrid>
      <w:tr>
        <w:trPr/>
        <w:tc>
          <w:tcPr>
            <w:tcBorders>
              <w:top w:val="single" w:color="auto" w:sz="4" w:space="0"/>
              <w:left w:val="single" w:color="auto" w:sz="4" w:space="0"/>
              <w:right w:val="single" w:color="auto" w:sz="4" w:space="0"/>
            </w:tcBorders>
            <w:tcW w:w="221" w:type="pct"/>
            <w:vMerge w:val="restar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1.</w:t>
            </w:r>
            <w:r/>
          </w:p>
        </w:tc>
        <w:tc>
          <w:tcPr>
            <w:gridSpan w:val="4"/>
            <w:tcBorders>
              <w:top w:val="single" w:color="auto" w:sz="4" w:space="0"/>
              <w:left w:val="single" w:color="auto" w:sz="4" w:space="0"/>
              <w:bottom w:val="single" w:color="auto" w:sz="4" w:space="0"/>
              <w:right w:val="single" w:color="auto" w:sz="4" w:space="0"/>
            </w:tcBorders>
            <w:tcW w:w="3529"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Cisco Catalyst C8200-1N-4T у складі:</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Cisco Catalyst C8200-1N-4T Router (C8200-1N-4T) – 1 шт.,</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SNTC-8X5XNBD Cisco Catalyst C8200 (CON-SNT-C82001N4) – 1 шт., </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NIM-2MFT-T1/E1, Модуль 2 port Multiflex Trunk Voice/Clear-channel Data T1/E1 Module</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NIM-PVDM-64, Модуль NIM with 64-channel DSP</w:t>
            </w:r>
            <w:r>
              <w:rPr>
                <w:rFonts w:ascii="Times New Roman" w:hAnsi="Times New Roman" w:cs="Times New Roman"/>
                <w:b/>
                <w:sz w:val="24"/>
                <w:szCs w:val="24"/>
              </w:rPr>
              <w:t xml:space="preserve"> </w:t>
            </w:r>
            <w:r>
              <w:rPr>
                <w:rFonts w:ascii="Times New Roman" w:hAnsi="Times New Roman" w:cs="Times New Roman"/>
                <w:sz w:val="24"/>
                <w:szCs w:val="24"/>
              </w:rPr>
              <w:t xml:space="preserve">– 1 шт.,</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примірник комп’ютерної програми Cisco DNA Advantage On-Prem Lic 3Y - upto 200M (Aggr, 400M) (DNA-P-T1-A-3Y) – 1 шт.,</w:t>
            </w:r>
            <w:r/>
          </w:p>
        </w:tc>
        <w:tc>
          <w:tcPr>
            <w:gridSpan w:val="4"/>
            <w:tcBorders>
              <w:top w:val="single" w:color="auto" w:sz="4" w:space="0"/>
              <w:left w:val="single" w:color="auto" w:sz="4" w:space="0"/>
              <w:bottom w:val="single" w:color="auto" w:sz="4" w:space="0"/>
              <w:right w:val="single" w:color="auto" w:sz="4" w:space="0"/>
            </w:tcBorders>
            <w:tcW w:w="736"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514"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24</w:t>
            </w:r>
            <w:r/>
          </w:p>
        </w:tc>
      </w:tr>
      <w:tr>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9"/>
            <w:tcBorders>
              <w:top w:val="single" w:color="auto" w:sz="4" w:space="0"/>
              <w:left w:val="single" w:color="auto" w:sz="4" w:space="0"/>
              <w:bottom w:val="single" w:color="auto" w:sz="4" w:space="0"/>
              <w:right w:val="single" w:color="auto" w:sz="4" w:space="0"/>
            </w:tcBorders>
            <w:tcW w:w="4779" w:type="pct"/>
            <w:vAlign w:val="center"/>
            <w:textDirection w:val="lrTb"/>
            <w:noWrap w:val="false"/>
          </w:tcPr>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Агрегована пропускна спроможність</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keepLines/>
              <w:spacing w:line="240" w:lineRule="auto"/>
              <w:tabs>
                <w:tab w:val="num" w:pos="567" w:leader="none"/>
              </w:tabs>
              <w:rPr>
                <w:rFonts w:ascii="Times New Roman" w:hAnsi="Times New Roman" w:cs="Times New Roman"/>
                <w:sz w:val="24"/>
                <w:szCs w:val="24"/>
              </w:rPr>
            </w:pPr>
            <w:r>
              <w:rPr>
                <w:rFonts w:ascii="Times New Roman" w:hAnsi="Times New Roman" w:cs="Times New Roman"/>
                <w:sz w:val="24"/>
                <w:szCs w:val="24"/>
              </w:rPr>
              <w:t xml:space="preserve">До 1000 МБ/с обмежена ліцензіею 200 МБ/с в режимі SD-WAN; та до 3.8 Гб/с в традіційному режимі без шифрування</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rPr>
              <w:t xml:space="preserve">Пропускна здатність шифрованного трафіку обмежена ліцензією 200MБ/с</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Архітектура</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Модульна апаратна платформа. </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Багатоядерна процесорна архітектура</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Ліцензування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Можливість додавання функціоналу за рахунок ліцензійного розширення, що не потребує заміни апаратної платформи.</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Можливість розширення продуктивності обробки трафіку за рахунок встановлення ліцензії без заміни апаратної платформи.</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До складу повинен входити функціонал SBC для підключення до операторів голосового звязку за допомогою SIP з використанням існуючих ліцензій</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Кріплення </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Встановлення у стандартні </w:t>
            </w:r>
            <w:r>
              <w:rPr>
                <w:rFonts w:ascii="Times New Roman" w:hAnsi="Times New Roman" w:cs="Times New Roman"/>
                <w:sz w:val="24"/>
                <w:szCs w:val="24"/>
              </w:rPr>
              <w:t xml:space="preserve">19”</w:t>
            </w:r>
            <w:r>
              <w:rPr>
                <w:rFonts w:ascii="Times New Roman" w:hAnsi="Times New Roman" w:cs="Times New Roman"/>
                <w:sz w:val="24"/>
                <w:szCs w:val="24"/>
              </w:rPr>
              <w:t xml:space="preserve"> монтажні шафи, повинен займати не більше 1U.</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Інтерфейси</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вбудованих інтерфейсів:</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RJ-45 Ethernet 10/100/1000Mbps не менш ніж 2</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Портів для встановлення SFP модулів не менш ніж 2</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External USB 2.0 слотів (type A) –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Serial console port - RJ45  –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NIM (Network Interface Modules) слотів з встановленими модулем з двома E1 PRI портами–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слотів для встановлення LTE модулів– 1</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Передбачити встановлення модулю обробки голосового потоку за допомогою G.729 кодеку до 32 сесій</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Пам’ять</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DRAM - 8 GB з можливістю встановлення 16 GB або 32 GB</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Flash - 8-GB</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M2 накопичувач 16 GB з можливісю встановлення 32GB або 600 GB</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протоколів (за наявності відповідного ліцензування)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платформою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IPv4, IPv6, static routes, </w:t>
            </w:r>
            <w:r>
              <w:rPr>
                <w:rFonts w:ascii="Times New Roman" w:hAnsi="Times New Roman" w:cs="Times New Roman"/>
                <w:sz w:val="24"/>
                <w:szCs w:val="24"/>
              </w:rPr>
              <w:t xml:space="preserve">Routing Information Protocol Versions 1 and 2 (RIP and RIPv2), Open Shortest Path First (OSPF), Border Gateway Protocol (BGP), BGP Route Reflector, Intermediate System-to-Intermediate System (IS-IS), Multicast Internet Group Management Protocol Version 3 (</w:t>
            </w:r>
            <w:r>
              <w:rPr>
                <w:rFonts w:ascii="Times New Roman" w:hAnsi="Times New Roman" w:cs="Times New Roman"/>
                <w:sz w:val="24"/>
                <w:szCs w:val="24"/>
              </w:rPr>
              <w:t xml:space="preserve">IGMPv3), Protocol Independent Multicast Sparse Mode (PIM SM), PIM Source-Specific Multicast (SSM), Resource Reservation Protocol (RSVP), Encapsulated Remote Switched Port Analyzer (ERSPAN), , Internet Key Exchange (IKE), ACLs, Ethernet Virtual Connections </w:t>
            </w:r>
            <w:r>
              <w:rPr>
                <w:rFonts w:ascii="Times New Roman" w:hAnsi="Times New Roman" w:cs="Times New Roman"/>
                <w:sz w:val="24"/>
                <w:szCs w:val="24"/>
              </w:rPr>
              <w:t xml:space="preserve">(EVC), Dynamic Host Configuration Protocol (DHCP), Frame Relay, DNS, Locator ID Separation Protocol (LISP), Hot Standby Router Protocol (HSRP), RADIUS, Authentication, Authorization, and Accounting (AAA), Application Visibility and Control (AVC), Distance </w:t>
            </w:r>
            <w:r>
              <w:rPr>
                <w:rFonts w:ascii="Times New Roman" w:hAnsi="Times New Roman" w:cs="Times New Roman"/>
                <w:sz w:val="24"/>
                <w:szCs w:val="24"/>
              </w:rPr>
              <w:t xml:space="preserve">Vector Multicast Routing Protocol (DVMRP), IPv4-to-IPv6 Multicast, Multiprotocol Label Switching (MPLS), Layer 2 and Layer 3 VPN, IPsec, Layer 2 Tunneling Protocol Version 3 (L2TPv3), Bidirectional Forwarding Detection (BFD), IEEE 802.1ag, and IEEE 802.3ah</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використовувати наступні види інкапсуляції</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Generic Routing Encapsulation (GRE), Ethernet, 802.1q V</w:t>
            </w:r>
            <w:r>
              <w:rPr>
                <w:rFonts w:ascii="Times New Roman" w:hAnsi="Times New Roman" w:cs="Times New Roman"/>
                <w:sz w:val="24"/>
                <w:szCs w:val="24"/>
              </w:rPr>
              <w:t xml:space="preserve">LAN, Point-to-Point Protocol (PPP), Multilink Point-to-Point Protocol (MLPPP), Frame Relay, Multilink Frame Relay (MLFR) (FR.15 and FR.16), High-Level Data Link Control (HDLC), serial (RS-232, RS-449, X.21, V.35, and EIA-530), and PPP over Ethernet (PPPoE)</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використовувати наступні методи керуванням трафіку</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QoS, Class-Based Weighted Fair Queuing (CBWFQ), Weighted Random Early Detection (WRED), Hierarchical QoS, Policy-Based Routing (PBR), Performance Routing (PfR), and NBAR</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використовування наступних криптографічних алгоритмів</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Encryption: Data Encryption Standard (DES), 3DES, Advanced Encryption Standard (AES)-128 or AES-256 (in Cipher Block Chaining [CBC] and Galois/Counter Mode [GCM])</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Authentication: RSA (748/1024/2048 bit), ECDSA (256/384 bit)</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Integrity: MD5, SHA, SHA-256, SHA-384, SHA-512</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голосу</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Call Admission Control </w:t>
            </w:r>
            <w:r>
              <w:rPr>
                <w:rFonts w:ascii="Times New Roman" w:hAnsi="Times New Roman" w:cs="Times New Roman"/>
                <w:sz w:val="24"/>
                <w:szCs w:val="24"/>
              </w:rPr>
              <w:t xml:space="preserve">(CAC), Resource Reservation Protocol (RSVP), RTP Control Protocol (RTCP), Service Advertisement Framework (SAF), Session Border Controller (SBC), SIP for voice over IP (VoIP), Secure Real-Time Transport Protocol (SRTP), VoIP, та підтримка голосових модулів</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SDN сценаріїв управління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роботи з SDN-контроллером того ж виробника.</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сценаріїв налаштування з SDN контроллеру:</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автоматизоване налаштування пристрою в «нульовий день» з SDN-контроллеру без попереднього передналаштування пристрою адміністратором;</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Можливість автоматизованого та автоматичного динамічного налаштування QoS на пристрої для конкретних видів трафіку та/чи абонентских сесій.</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та гарантії</w:t>
            </w:r>
            <w:r/>
          </w:p>
        </w:tc>
        <w:tc>
          <w:tcPr>
            <w:gridSpan w:val="7"/>
            <w:tcBorders>
              <w:top w:val="single" w:color="auto" w:sz="4" w:space="0"/>
              <w:left w:val="single" w:color="auto" w:sz="4" w:space="0"/>
              <w:bottom w:val="single" w:color="auto" w:sz="4" w:space="0"/>
              <w:right w:val="single" w:color="auto" w:sz="4" w:space="0"/>
            </w:tcBorders>
            <w:tcW w:w="3317" w:type="pct"/>
            <w:vAlign w:val="bottom"/>
            <w:textDirection w:val="lrTb"/>
            <w:noWrap w:val="false"/>
          </w:tcPr>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Підтримка від виробника 8x5xNBD, що включає зам</w:t>
            </w:r>
            <w:r>
              <w:rPr>
                <w:rFonts w:ascii="Times New Roman" w:hAnsi="Times New Roman" w:cs="Times New Roman"/>
                <w:sz w:val="24"/>
                <w:szCs w:val="24"/>
              </w:rPr>
              <w:t xml:space="preserve">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в період гарантійного обслуговування або еквівалент на кожну одиницю обладнання щонайменше на 12 місяців.</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Усі складові мають бути від оригінального виробника обладнання.</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Все обладнання має бути новим в оригінальній упаковці виробника.</w:t>
            </w:r>
            <w:r/>
          </w:p>
        </w:tc>
      </w:tr>
      <w:tr>
        <w:trPr/>
        <w:tc>
          <w:tcPr>
            <w:tcBorders>
              <w:top w:val="single" w:color="auto" w:sz="4" w:space="0"/>
              <w:left w:val="single" w:color="auto" w:sz="4" w:space="0"/>
              <w:right w:val="single" w:color="auto" w:sz="4" w:space="0"/>
            </w:tcBorders>
            <w:tcW w:w="221" w:type="pct"/>
            <w:vMerge w:val="restar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2.</w:t>
            </w:r>
            <w:r/>
          </w:p>
        </w:tc>
        <w:tc>
          <w:tcPr>
            <w:gridSpan w:val="5"/>
            <w:tcBorders>
              <w:top w:val="single" w:color="auto" w:sz="4" w:space="0"/>
              <w:left w:val="single" w:color="auto" w:sz="4" w:space="0"/>
              <w:bottom w:val="single" w:color="auto" w:sz="4" w:space="0"/>
              <w:right w:val="single" w:color="auto" w:sz="4" w:space="0"/>
            </w:tcBorders>
            <w:tcW w:w="3676" w:type="pct"/>
            <w:textDirection w:val="lrTb"/>
            <w:noWrap w:val="false"/>
          </w:tcPr>
          <w:p>
            <w:pPr>
              <w:jc w:val="both"/>
              <w:spacing w:line="240" w:lineRule="auto"/>
              <w:rPr>
                <w:rFonts w:ascii="Times New Roman" w:hAnsi="Times New Roman" w:cs="Times New Roman"/>
                <w:sz w:val="24"/>
                <w:szCs w:val="24"/>
              </w:rPr>
            </w:pPr>
            <w:r/>
            <w:bookmarkStart w:id="4" w:name="OLE_LINK1"/>
            <w:r>
              <w:rPr>
                <w:rFonts w:ascii="Times New Roman" w:hAnsi="Times New Roman" w:cs="Times New Roman"/>
                <w:sz w:val="24"/>
                <w:szCs w:val="24"/>
              </w:rPr>
              <w:t xml:space="preserve">Маршрутизатор Cisco Catalyst C8200-1N-4T у складі:</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Cisco Catalyst C8200-1N-4T Router (C8200-1N-4T) – 1 шт.,</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SNTC-8X5XNBD Cisco Catalyst C8200 (CON-SNT-C82001N4) – 1 шт., </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NIM-2MFT-T1/E1, Модуль 2 port Multiflex Trunk Voice/Clear-channel Data T1/E1 Module</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NIM-PVDM-64, Модуль NIM with 64-channel DSP</w:t>
            </w:r>
            <w:r>
              <w:rPr>
                <w:rFonts w:ascii="Times New Roman" w:hAnsi="Times New Roman" w:cs="Times New Roman"/>
                <w:b/>
                <w:sz w:val="24"/>
                <w:szCs w:val="24"/>
              </w:rPr>
              <w:t xml:space="preserve"> </w:t>
            </w:r>
            <w:r>
              <w:rPr>
                <w:rFonts w:ascii="Times New Roman" w:hAnsi="Times New Roman" w:cs="Times New Roman"/>
                <w:sz w:val="24"/>
                <w:szCs w:val="24"/>
              </w:rPr>
              <w:t xml:space="preserve">– 1 шт.,</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MEM-C8200-16GB, Модуль пам’яті Cisco Catalyst 8200 Edge 16GB memory</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примірник комп’ютерної програми Cisco DNA Advantage On-Prem Lic 3Y - upto 200M (Aggr, 400M) (DNA-P-T1-A-3Y) – 1 шт.,</w:t>
            </w:r>
            <w:bookmarkEnd w:id="4"/>
            <w:r/>
            <w:r/>
          </w:p>
        </w:tc>
        <w:tc>
          <w:tcPr>
            <w:gridSpan w:val="3"/>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514"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4</w:t>
            </w:r>
            <w:r/>
          </w:p>
        </w:tc>
      </w:tr>
      <w:tr>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9"/>
            <w:tcBorders>
              <w:top w:val="single" w:color="auto" w:sz="4" w:space="0"/>
              <w:left w:val="single" w:color="auto" w:sz="4" w:space="0"/>
              <w:bottom w:val="single" w:color="auto" w:sz="4" w:space="0"/>
              <w:right w:val="single" w:color="auto" w:sz="4" w:space="0"/>
            </w:tcBorders>
            <w:tcW w:w="4779" w:type="pct"/>
            <w:vAlign w:val="center"/>
            <w:textDirection w:val="lrTb"/>
            <w:noWrap w:val="false"/>
          </w:tcPr>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Агрегована пропускна спроможність</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keepLines/>
              <w:spacing w:line="240" w:lineRule="auto"/>
              <w:tabs>
                <w:tab w:val="num" w:pos="567" w:leader="none"/>
              </w:tabs>
              <w:rPr>
                <w:rFonts w:ascii="Times New Roman" w:hAnsi="Times New Roman" w:cs="Times New Roman"/>
                <w:sz w:val="24"/>
                <w:szCs w:val="24"/>
              </w:rPr>
            </w:pPr>
            <w:r>
              <w:rPr>
                <w:rFonts w:ascii="Times New Roman" w:hAnsi="Times New Roman" w:cs="Times New Roman"/>
                <w:sz w:val="24"/>
                <w:szCs w:val="24"/>
              </w:rPr>
              <w:t xml:space="preserve">До 1000 МБ/с обмежена ліцензіею 200 МБ/с в режимі SD-WAN; та до 3.8 Гб/с в традіційному режимі без шифрування</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rPr>
              <w:t xml:space="preserve">Пропускна здатність шифрованного трафіку обмежена ліцензією 200MБ/с</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Архітектура</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Модульна апаратна платформа. </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Багатоядерна процесорна архітектура</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Ліцензування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Можливість додавання функціоналу за рахунок ліцензійного розширення, що не потребує заміни апаратної платформи.</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Можливість розширення продуктивності обробки трафіку за рахунок встановлення ліцензії без заміни апаратної платформи.</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До складу повинен входити функціонал SBC для підключення до операторів голосового звязку за допомогою SIP з використанням існуючих ліцензій</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Кріплення </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Встановлення у стандартні </w:t>
            </w:r>
            <w:r>
              <w:rPr>
                <w:rFonts w:ascii="Times New Roman" w:hAnsi="Times New Roman" w:cs="Times New Roman"/>
                <w:sz w:val="24"/>
                <w:szCs w:val="24"/>
              </w:rPr>
              <w:t xml:space="preserve">19”</w:t>
            </w:r>
            <w:r>
              <w:rPr>
                <w:rFonts w:ascii="Times New Roman" w:hAnsi="Times New Roman" w:cs="Times New Roman"/>
                <w:sz w:val="24"/>
                <w:szCs w:val="24"/>
              </w:rPr>
              <w:t xml:space="preserve"> монтажні шафи, повинен займати не більше 1U.</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Інтерфейси</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вбудованих інтерфейсів:</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RJ-45 Ethernet 10/100/1000Mbps не менш ніж 2</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Портів для встановлення SFP модулів не менш ніж 2</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External USB 2.0 слотів (type A) –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Serial console port - RJ45  –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NIM (Network Interface Modules) слотів з встановленими модулем з двома E1 PRI портами–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слотів для встановлення LTE модулів– 1</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Передбачити встановлення модулю обробки голосового потоку за допомогою G.729 кодеку до 32 сесій</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Пам’ять</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DRAM – 16 GB з можливістю встановлення 32 GB</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Flash - 8-GB</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M2 накопичувач 16 GB з можливісю встановлення 32GB або 600 GB</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протоколів (за наявності відповідного ліцензування)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платформою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IPv4, IPv6, static routes, Routing Information Protocol Versions 1 and 2 (RIP and R</w:t>
            </w:r>
            <w:r>
              <w:rPr>
                <w:rFonts w:ascii="Times New Roman" w:hAnsi="Times New Roman" w:cs="Times New Roman"/>
                <w:sz w:val="24"/>
                <w:szCs w:val="24"/>
              </w:rPr>
              <w:t xml:space="preserve">IPv2), Open Shortest Path First (OSPF), Border Gateway Protocol (BGP), BGP Route Reflector, Intermediate System-to-Intermediate System (IS-IS), Multicast Internet Group Management Protocol Version 3 (IGMPv3), Protocol Independent Multicast Sparse Mode (PIM</w:t>
            </w:r>
            <w:r>
              <w:rPr>
                <w:rFonts w:ascii="Times New Roman" w:hAnsi="Times New Roman" w:cs="Times New Roman"/>
                <w:sz w:val="24"/>
                <w:szCs w:val="24"/>
              </w:rPr>
              <w:t xml:space="preserve"> SM), PIM Source-Specific Multicast (SSM), Resource Reservation Protocol (RSVP), Encapsulated Remote Switched Port Analyzer (ERSPAN), , Internet Key Exchange (IKE), ACLs, Ethernet Virtual Connections (EVC), Dynamic Host Configuration Protocol (DHCP), Frame</w:t>
            </w:r>
            <w:r>
              <w:rPr>
                <w:rFonts w:ascii="Times New Roman" w:hAnsi="Times New Roman" w:cs="Times New Roman"/>
                <w:sz w:val="24"/>
                <w:szCs w:val="24"/>
              </w:rPr>
              <w:t xml:space="preserve"> Relay, DNS, Locator ID Separation Protocol (LISP), Hot Standby Router Protocol (HSRP), RADIUS, Authentication, Authorization, and Accounting (AAA), Application Visibility and Control (AVC), Distance Vector Multicast Routing Protocol (DVMRP), IPv4-to-IPv6 </w:t>
            </w:r>
            <w:r>
              <w:rPr>
                <w:rFonts w:ascii="Times New Roman" w:hAnsi="Times New Roman" w:cs="Times New Roman"/>
                <w:sz w:val="24"/>
                <w:szCs w:val="24"/>
              </w:rPr>
              <w:t xml:space="preserve">Multicast, Multiprotocol Label Switching (MPLS), Layer 2 and Layer 3 VPN, IPsec, Layer 2 Tunneling Protocol Version 3 (L2TPv3), Bidirectional Forwarding Detection (BFD), IEEE 802.1ag, and IEEE 802.3ah</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використовувати наступні види інкапсуляції</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Generic Routing Encapsulation (GRE), Ethernet, 802.1q V</w:t>
            </w:r>
            <w:r>
              <w:rPr>
                <w:rFonts w:ascii="Times New Roman" w:hAnsi="Times New Roman" w:cs="Times New Roman"/>
                <w:sz w:val="24"/>
                <w:szCs w:val="24"/>
              </w:rPr>
              <w:t xml:space="preserve">LAN, Point-to-Point Protocol (PPP), Multilink Point-to-Point Protocol (MLPPP), Frame Relay, Multilink Frame Relay (MLFR) (FR.15 and FR.16), High-Level Data Link Control (HDLC), serial (RS-232, RS-449, X.21, V.35, and EIA-530), and PPP over Ethernet (PPPoE)</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використовувати наступні методи керуванням трафіку</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QoS, Class-Based Weighted Fair Queuing (CBWFQ), Weighted Random Early Detection (WRED), Hierarchical QoS, Policy-Based Routing (PBR), Performance Routing (PfR), and NBAR</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використовування наступних криптографічних алгоритмів</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Encryption: Data Encryption Standard (DES), 3DES, Advanced Encryption Standard (AES)-128 or AES-256 (in Cipher Block Chaining [CBC] and Galois/Counter Mode [GCM])</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Authentication: RSA (748/1024/2048 bit), ECDSA (256/384 bit)</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Integrity: MD5, SHA, SHA-256, SHA-384, SHA-512</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голосу</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Call Admission Control </w:t>
            </w:r>
            <w:r>
              <w:rPr>
                <w:rFonts w:ascii="Times New Roman" w:hAnsi="Times New Roman" w:cs="Times New Roman"/>
                <w:sz w:val="24"/>
                <w:szCs w:val="24"/>
              </w:rPr>
              <w:t xml:space="preserve">(CAC), Resource Reservation Protocol (RSVP), RTP Control Protocol (RTCP), Service Advertisement Framework (SAF), Session Border Controller (SBC), SIP for voice over IP (VoIP), Secure Real-Time Transport Protocol (SRTP), VoIP, та підтримка голосових модулів</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SDN сценаріїв управління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роботи з SDN-контроллером того ж виробника.</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сценаріїв налаштування з SDN контроллеру:</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автоматизоване налаштування пристрою в «нульовий день» з SDN-контроллеру без попереднього передналаштування пристрою адміністратором;</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Можливість автоматизованого та автоматичного динамічного налаштування QoS на пристрої для конкретних видів трафіку та/чи абонентских сесій.</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та гарантії</w:t>
            </w:r>
            <w:r/>
          </w:p>
        </w:tc>
        <w:tc>
          <w:tcPr>
            <w:gridSpan w:val="7"/>
            <w:tcBorders>
              <w:top w:val="single" w:color="auto" w:sz="4" w:space="0"/>
              <w:left w:val="single" w:color="auto" w:sz="4" w:space="0"/>
              <w:bottom w:val="single" w:color="auto" w:sz="4" w:space="0"/>
              <w:right w:val="single" w:color="auto" w:sz="4" w:space="0"/>
            </w:tcBorders>
            <w:tcW w:w="3317" w:type="pct"/>
            <w:vAlign w:val="bottom"/>
            <w:textDirection w:val="lrTb"/>
            <w:noWrap w:val="false"/>
          </w:tcPr>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Підтримка від виробника 8x5xNBD, що включає зам</w:t>
            </w:r>
            <w:r>
              <w:rPr>
                <w:rFonts w:ascii="Times New Roman" w:hAnsi="Times New Roman" w:cs="Times New Roman"/>
                <w:sz w:val="24"/>
                <w:szCs w:val="24"/>
              </w:rPr>
              <w:t xml:space="preserve">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в період гарантійного обслуговування або еквівалент на кожну одиницю обладнання щонайменше на 12 місяців.</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Усі складові мають бути від оригінального виробника обладнання.</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Все обладнання має бути новим в оригінальній упаковці виробника.</w:t>
            </w:r>
            <w:r/>
          </w:p>
        </w:tc>
      </w:tr>
      <w:tr>
        <w:trPr/>
        <w:tc>
          <w:tcPr>
            <w:tcBorders>
              <w:top w:val="single" w:color="auto" w:sz="4" w:space="0"/>
              <w:left w:val="single" w:color="auto" w:sz="4" w:space="0"/>
              <w:right w:val="single" w:color="auto" w:sz="4" w:space="0"/>
            </w:tcBorders>
            <w:tcW w:w="221" w:type="pct"/>
            <w:vMerge w:val="restar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3.</w:t>
            </w:r>
            <w:r/>
          </w:p>
        </w:tc>
        <w:tc>
          <w:tcPr>
            <w:gridSpan w:val="5"/>
            <w:tcBorders>
              <w:top w:val="single" w:color="auto" w:sz="4" w:space="0"/>
              <w:left w:val="single" w:color="auto" w:sz="4" w:space="0"/>
              <w:bottom w:val="single" w:color="auto" w:sz="4" w:space="0"/>
              <w:right w:val="single" w:color="auto" w:sz="4" w:space="0"/>
            </w:tcBorders>
            <w:tcW w:w="3676"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Cisco Catalyst C8200-1N-4T у складі:</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Cisco Catalyst C8200-1N-4T Router (C8200-1N-4T) – 1 шт.,</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SNTC-8X5XNBD Cisco Catalyst C8200 (CON-SNT-C82001N4) – 1 шт., </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MEM-C8200-16GB, Модуль пам’яті Cisco Catalyst 8200 Edge 16GB memory</w:t>
            </w:r>
            <w:r/>
          </w:p>
          <w:p>
            <w:pPr>
              <w:pStyle w:val="720"/>
              <w:numPr>
                <w:ilvl w:val="0"/>
                <w:numId w:val="3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примірник комп’ютерної програми Cisco DNA Advantage On-Prem Lic 3Y - upto 200M (Aggr, 400M) (DNA-P-T1-A-3Y) – 1 шт.,</w:t>
            </w:r>
            <w:r/>
          </w:p>
        </w:tc>
        <w:tc>
          <w:tcPr>
            <w:gridSpan w:val="3"/>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514"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4</w:t>
            </w:r>
            <w:r/>
          </w:p>
        </w:tc>
      </w:tr>
      <w:tr>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9"/>
            <w:tcBorders>
              <w:top w:val="single" w:color="auto" w:sz="4" w:space="0"/>
              <w:left w:val="single" w:color="auto" w:sz="4" w:space="0"/>
              <w:bottom w:val="single" w:color="auto" w:sz="4" w:space="0"/>
              <w:right w:val="single" w:color="auto" w:sz="4" w:space="0"/>
            </w:tcBorders>
            <w:tcW w:w="4779" w:type="pct"/>
            <w:vAlign w:val="center"/>
            <w:textDirection w:val="lrTb"/>
            <w:noWrap w:val="false"/>
          </w:tcPr>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Агрегована пропускна спроможність</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keepLines/>
              <w:spacing w:line="240" w:lineRule="auto"/>
              <w:tabs>
                <w:tab w:val="num" w:pos="567" w:leader="none"/>
              </w:tabs>
              <w:rPr>
                <w:rFonts w:ascii="Times New Roman" w:hAnsi="Times New Roman" w:cs="Times New Roman"/>
                <w:sz w:val="24"/>
                <w:szCs w:val="24"/>
              </w:rPr>
            </w:pPr>
            <w:r>
              <w:rPr>
                <w:rFonts w:ascii="Times New Roman" w:hAnsi="Times New Roman" w:cs="Times New Roman"/>
                <w:sz w:val="24"/>
                <w:szCs w:val="24"/>
              </w:rPr>
              <w:t xml:space="preserve">До 1000 МБ/с обмежена ліцензіею 200 МБ/с в режимі SD-WAN; та до 3.8 Гб/с в традіційному режимі без шифрування</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rPr>
              <w:t xml:space="preserve">Пропускна здатність шифрованного трафіку обмежена ліцензією 200MБ/с</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Архітектура</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Модульна апаратна платформа. </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Багатоядерна процесорна архітектура</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Ліцензування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Можливість додавання функціоналу за рахунок ліцензійного розширення, що не потребує заміни апаратної платформи.</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Можливість розширення продуктивності обробки трафіку за рахунок встановлення ліцензії без заміни апаратної платформи.</w:t>
            </w:r>
            <w:r/>
          </w:p>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До складу повинен входити функціонал SBC для підключення до операторів голосового звязку за допомогою SIP з використанням існуючих ліцензій</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Кріплення </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Встановлення у стандартні </w:t>
            </w:r>
            <w:r>
              <w:rPr>
                <w:rFonts w:ascii="Times New Roman" w:hAnsi="Times New Roman" w:cs="Times New Roman"/>
                <w:sz w:val="24"/>
                <w:szCs w:val="24"/>
              </w:rPr>
              <w:t xml:space="preserve">19”</w:t>
            </w:r>
            <w:r>
              <w:rPr>
                <w:rFonts w:ascii="Times New Roman" w:hAnsi="Times New Roman" w:cs="Times New Roman"/>
                <w:sz w:val="24"/>
                <w:szCs w:val="24"/>
              </w:rPr>
              <w:t xml:space="preserve"> монтажні шафи, повинен займати не більше 1U.</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Інтерфейси</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вбудованих інтерфейсів:</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RJ-45 Ethernet 10/100/1000Mbps не менш ніж 2</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Портів для встановлення SFP модулів не менш ніж 2</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External USB 2.0 слотів (type A) –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Serial console port - RJ45  –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NIM (Network Interface Modules) слотів – 1</w:t>
            </w:r>
            <w:r/>
          </w:p>
          <w:p>
            <w:pPr>
              <w:pStyle w:val="720"/>
              <w:numPr>
                <w:ilvl w:val="0"/>
                <w:numId w:val="3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слотів для встановлення LTE модулів– 1</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Пам’ять</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DRAM – 16 GB з можливістю встановлення 32 GB</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Flash - 8-GB</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M2 накопичувач 16 GB з можливісю встановлення 32GB або 600 GB</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протоколів (за наявності відповідного ліцензування)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платформою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IPv4, IPv6, static routes, </w:t>
            </w:r>
            <w:r>
              <w:rPr>
                <w:rFonts w:ascii="Times New Roman" w:hAnsi="Times New Roman" w:cs="Times New Roman"/>
                <w:sz w:val="24"/>
                <w:szCs w:val="24"/>
              </w:rPr>
              <w:t xml:space="preserve">Routing Information Protocol Versions 1 and 2 (RIP and RIPv2), Open Shortest Path First (OSPF), Border Gateway Protocol (BGP), BGP Route Reflector, Intermediate System-to-Intermediate System (IS-IS), Multicast Internet Group Management Protocol Version 3 (</w:t>
            </w:r>
            <w:r>
              <w:rPr>
                <w:rFonts w:ascii="Times New Roman" w:hAnsi="Times New Roman" w:cs="Times New Roman"/>
                <w:sz w:val="24"/>
                <w:szCs w:val="24"/>
              </w:rPr>
              <w:t xml:space="preserve">IGMPv3), Protocol Independent Multicast Sparse Mode (PIM SM), PIM Source-Specific Multicast (SSM), Resource Reservation Protocol (RSVP), Encapsulated Remote Switched Port Analyzer (ERSPAN), , Internet Key Exchange (IKE), ACLs, Ethernet Virtual Connections </w:t>
            </w:r>
            <w:r>
              <w:rPr>
                <w:rFonts w:ascii="Times New Roman" w:hAnsi="Times New Roman" w:cs="Times New Roman"/>
                <w:sz w:val="24"/>
                <w:szCs w:val="24"/>
              </w:rPr>
              <w:t xml:space="preserve">(EVC), Dynamic Host Configuration Protocol (DHCP), Frame Relay, DNS, Locator ID Separation Protocol (LISP), Hot Standby Router Protocol (HSRP), RADIUS, Authentication, Authorization, and Accounting (AAA), Application Visibility and Control (AVC), Distance </w:t>
            </w:r>
            <w:r>
              <w:rPr>
                <w:rFonts w:ascii="Times New Roman" w:hAnsi="Times New Roman" w:cs="Times New Roman"/>
                <w:sz w:val="24"/>
                <w:szCs w:val="24"/>
              </w:rPr>
              <w:t xml:space="preserve">Vector Multicast Routing Protocol (DVMRP), IPv4-to-IPv6 Multicast, Multiprotocol Label Switching (MPLS), Layer 2 and Layer 3 VPN, IPsec, Layer 2 Tunneling Protocol Version 3 (L2TPv3), Bidirectional Forwarding Detection (BFD), IEEE 802.1ag, and IEEE 802.3ah</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використовувати наступні види інкапсуляції</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Generic Routing Encapsulation (GRE), Ethernet, 802.1q V</w:t>
            </w:r>
            <w:r>
              <w:rPr>
                <w:rFonts w:ascii="Times New Roman" w:hAnsi="Times New Roman" w:cs="Times New Roman"/>
                <w:sz w:val="24"/>
                <w:szCs w:val="24"/>
              </w:rPr>
              <w:t xml:space="preserve">LAN, Point-to-Point Protocol (PPP), Multilink Point-to-Point Protocol (MLPPP), Frame Relay, Multilink Frame Relay (MLFR) (FR.15 and FR.16), High-Level Data Link Control (HDLC), serial (RS-232, RS-449, X.21, V.35, and EIA-530), and PPP over Ethernet (PPPoE)</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використовувати наступні методи керуванням трафіку</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QoS, Class-Based Weighted Fair Queuing (CBWFQ), Weighted Random Early Detection (WRED), Hierarchical QoS, Policy-Based Routing (PBR), Performance Routing (PfR), and NBAR</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Можливість використовування наступних криптографічних алгоритмів</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Encryption: Data Encryption Standard (DES), 3DES, Advanced Encryption Standard (AES)-128 or AES-256 (in Cipher Block Chaining [CBC] and Galois/Counter Mode [GCM])</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Authentication: RSA (748/1024/2048 bit), ECDSA (256/384 bit)</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Integrity: MD5, SHA, SHA-256, SHA-384, SHA-512</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голосу</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наступних протоколів в традіційному режимі роботи:</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Call Admission Control </w:t>
            </w:r>
            <w:r>
              <w:rPr>
                <w:rFonts w:ascii="Times New Roman" w:hAnsi="Times New Roman" w:cs="Times New Roman"/>
                <w:sz w:val="24"/>
                <w:szCs w:val="24"/>
              </w:rPr>
              <w:t xml:space="preserve">(CAC), Resource Reservation Protocol (RSVP), RTP Control Protocol (RTCP), Service Advertisement Framework (SAF), Session Border Controller (SBC), SIP for voice over IP (VoIP), Secure Real-Time Transport Protocol (SRTP), VoIP, та підтримка голосових модулів</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Підтримка SDN сценаріїв управління</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роботи з SDN-контроллером того ж виробника.</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сценаріїв налаштування з SDN контроллеру:</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автоматизоване налаштування пристрою в «нульовий день» з SDN-контроллеру без попереднього передналаштування пристрою адміністратором;</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Можливість автоматизованого та автоматичного динамічного налаштування QoS на пристрої для конкретних видів трафіку та/чи абонентских сесій.</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та гарантії</w:t>
            </w:r>
            <w:r/>
          </w:p>
        </w:tc>
        <w:tc>
          <w:tcPr>
            <w:gridSpan w:val="7"/>
            <w:tcBorders>
              <w:top w:val="single" w:color="auto" w:sz="4" w:space="0"/>
              <w:left w:val="single" w:color="auto" w:sz="4" w:space="0"/>
              <w:bottom w:val="single" w:color="auto" w:sz="4" w:space="0"/>
              <w:right w:val="single" w:color="auto" w:sz="4" w:space="0"/>
            </w:tcBorders>
            <w:tcW w:w="3317" w:type="pct"/>
            <w:vAlign w:val="bottom"/>
            <w:textDirection w:val="lrTb"/>
            <w:noWrap w:val="false"/>
          </w:tcPr>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Підтримка від виробника 8x5xNBD, що включає зам</w:t>
            </w:r>
            <w:r>
              <w:rPr>
                <w:rFonts w:ascii="Times New Roman" w:hAnsi="Times New Roman" w:cs="Times New Roman"/>
                <w:sz w:val="24"/>
                <w:szCs w:val="24"/>
              </w:rPr>
              <w:t xml:space="preserve">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в період гарантійного обслуговування або еквівалент на кожну одиницю обладнання щонайменше на 12 місяців.</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Усі складові мають бути від оригінального виробника обладнання.</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Все обладнання має бути новим в оригінальній упаковці виробника.</w:t>
            </w:r>
            <w:r/>
          </w:p>
        </w:tc>
      </w:tr>
      <w:tr>
        <w:trPr/>
        <w:tc>
          <w:tcPr>
            <w:tcBorders>
              <w:top w:val="single" w:color="auto" w:sz="4" w:space="0"/>
              <w:left w:val="single" w:color="auto" w:sz="4" w:space="0"/>
              <w:right w:val="single" w:color="auto" w:sz="4" w:space="0"/>
            </w:tcBorders>
            <w:tcW w:w="221" w:type="pct"/>
            <w:vMerge w:val="restar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4.</w:t>
            </w:r>
            <w:r/>
          </w:p>
        </w:tc>
        <w:tc>
          <w:tcPr>
            <w:gridSpan w:val="3"/>
            <w:tcBorders>
              <w:top w:val="single" w:color="auto" w:sz="4" w:space="0"/>
              <w:left w:val="single" w:color="auto" w:sz="4" w:space="0"/>
              <w:bottom w:val="single" w:color="auto" w:sz="4" w:space="0"/>
              <w:right w:val="single" w:color="auto" w:sz="4" w:space="0"/>
            </w:tcBorders>
            <w:tcW w:w="3456" w:type="pct"/>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w:t>
            </w:r>
            <w:r>
              <w:rPr>
                <w:rFonts w:ascii="Times New Roman" w:hAnsi="Times New Roman" w:cs="Times New Roman"/>
                <w:sz w:val="24"/>
                <w:szCs w:val="24"/>
              </w:rPr>
              <w:t xml:space="preserve">рамках створення та введення в експлуатацію інтегрованих комп'ютерних систем у складі:</w:t>
            </w:r>
            <w:r/>
          </w:p>
          <w:p>
            <w:pPr>
              <w:ind w:left="360"/>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надання послуг з технічного оснащення і налаштування обладнання / програмного забезпечення;</w:t>
            </w:r>
            <w:r/>
          </w:p>
          <w:p>
            <w:pPr>
              <w:ind w:left="360"/>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надання послуги з технічної підтримки / супроводу (керування і експлуатація) </w:t>
            </w:r>
            <w:r/>
          </w:p>
        </w:tc>
        <w:tc>
          <w:tcPr>
            <w:gridSpan w:val="4"/>
            <w:tcBorders>
              <w:top w:val="single" w:color="auto" w:sz="4" w:space="0"/>
              <w:left w:val="single" w:color="auto" w:sz="4" w:space="0"/>
              <w:bottom w:val="single" w:color="auto" w:sz="4" w:space="0"/>
              <w:right w:val="single" w:color="auto" w:sz="4" w:space="0"/>
            </w:tcBorders>
            <w:tcW w:w="662"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lang w:eastAsia="ar-SA"/>
              </w:rPr>
              <w:t xml:space="preserve">Послуга</w:t>
            </w:r>
            <w:r/>
          </w:p>
        </w:tc>
        <w:tc>
          <w:tcPr>
            <w:gridSpan w:val="2"/>
            <w:tcBorders>
              <w:top w:val="single" w:color="auto" w:sz="4" w:space="0"/>
              <w:left w:val="single" w:color="auto" w:sz="4" w:space="0"/>
              <w:bottom w:val="single" w:color="auto" w:sz="4" w:space="0"/>
              <w:right w:val="single" w:color="auto" w:sz="4" w:space="0"/>
            </w:tcBorders>
            <w:tcW w:w="661"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r>
            <w:r/>
          </w:p>
        </w:tc>
      </w:tr>
      <w:tr>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9"/>
            <w:tcBorders>
              <w:top w:val="single" w:color="auto" w:sz="4" w:space="0"/>
              <w:left w:val="single" w:color="auto" w:sz="4" w:space="0"/>
              <w:bottom w:val="single" w:color="auto" w:sz="4" w:space="0"/>
              <w:right w:val="single" w:color="auto" w:sz="4" w:space="0"/>
            </w:tcBorders>
            <w:tcW w:w="4779" w:type="pct"/>
            <w:vAlign w:val="center"/>
            <w:textDirection w:val="lrTb"/>
            <w:noWrap w:val="false"/>
          </w:tcPr>
          <w:p>
            <w:pPr>
              <w:spacing w:line="240" w:lineRule="auto"/>
              <w:rPr>
                <w:rFonts w:ascii="Times New Roman" w:hAnsi="Times New Roman" w:cs="Times New Roman"/>
                <w:b/>
                <w:sz w:val="24"/>
                <w:szCs w:val="24"/>
              </w:rPr>
            </w:pPr>
            <w:r>
              <w:rPr>
                <w:rFonts w:ascii="Times New Roman" w:hAnsi="Times New Roman" w:cs="Times New Roman"/>
                <w:b/>
                <w:sz w:val="24"/>
                <w:szCs w:val="24"/>
                <w:lang w:eastAsia="ar-SA"/>
              </w:rPr>
              <w:t xml:space="preserve">Вимоги до складу Послуг</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послуг</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шлюзів підключення до мереж загального користування (PSTN VGW) Сat8X00 - 4 шт.</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Розгортаня та базове налаштування маршутизаторів (мережеві налаштування, ліцензування, оновлення ПЗ, адміністративні налашутвання)</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підключення до мережі загального користування - оператори надання Послуг (не менш ніж 2 оператори звязку незалежно від типу підключення PRI/SIP) </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трансформаціі номерів та маршрутизаціі викликів до IP станціі</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агрегуючих шлюзів підключення до відомчих мереж (Inside AGG RTR + VGW) Сat8X00 - 4 шт.</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Розгортаня та базове налаштування маршутизаторів (мережеві налаштування, ліцензування, оновлення ПЗ, адміністративні налашутвання)</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Перенесення існуючої логіки з поточних шлюзів (C8000v) та проведення переключення/міграції</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маршрутизаціі викликів</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перетворення номерів  calling, called та originall виклику</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 та маршрутизаціі інформаційних потоків</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шлюзів регіональних точок підключення до відомчих мереж (Inside BRANCH RTR + VGW /101_102_103_104) 2х Сat8200 - 20 комплектів. </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Розгортаня та базове налаштування маршутизаторів (мережеві налаштування, ліцензування, оновлення ПЗ, адміністративні налашутвання)</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маршрутизаціі викликів</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перетворення номерів  calling, called та originall виклику</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 та маршрутизаціі інформаційних потоків</w:t>
            </w:r>
            <w:r/>
          </w:p>
          <w:p>
            <w:pPr>
              <w:pStyle w:val="720"/>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Тестування підключень, пошук та усунення несправностей</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інснуючого мережевого обладннаня (згідно можливих потреб поточного впровадження)</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720"/>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c>
          <w:tcPr>
            <w:tcBorders>
              <w:top w:val="single" w:color="auto" w:sz="4" w:space="0"/>
              <w:left w:val="single" w:color="auto" w:sz="4" w:space="0"/>
              <w:right w:val="single" w:color="auto" w:sz="4" w:space="0"/>
            </w:tcBorders>
            <w:tcW w:w="221" w:type="pct"/>
            <w:vMerge w:val="restar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5.</w:t>
            </w:r>
            <w:r/>
          </w:p>
        </w:tc>
        <w:tc>
          <w:tcPr>
            <w:gridSpan w:val="3"/>
            <w:tcBorders>
              <w:top w:val="single" w:color="auto" w:sz="4" w:space="0"/>
              <w:left w:val="single" w:color="auto" w:sz="4" w:space="0"/>
              <w:bottom w:val="single" w:color="auto" w:sz="4" w:space="0"/>
              <w:right w:val="single" w:color="auto" w:sz="4" w:space="0"/>
            </w:tcBorders>
            <w:tcW w:w="3456"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Веб-камера Cisco Desk Camera 4K, Carbon Black - Worldwide except US у складі з: </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CON-SNT-DDYWWKY2 - 1 шт.</w:t>
            </w:r>
            <w:r/>
          </w:p>
        </w:tc>
        <w:tc>
          <w:tcPr>
            <w:gridSpan w:val="4"/>
            <w:tcBorders>
              <w:top w:val="single" w:color="auto" w:sz="4" w:space="0"/>
              <w:left w:val="single" w:color="auto" w:sz="4" w:space="0"/>
              <w:bottom w:val="single" w:color="auto" w:sz="4" w:space="0"/>
              <w:right w:val="single" w:color="auto" w:sz="4" w:space="0"/>
            </w:tcBorders>
            <w:tcW w:w="662"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шт</w:t>
            </w:r>
            <w:r/>
          </w:p>
        </w:tc>
        <w:tc>
          <w:tcPr>
            <w:gridSpan w:val="2"/>
            <w:tcBorders>
              <w:top w:val="single" w:color="auto" w:sz="4" w:space="0"/>
              <w:left w:val="single" w:color="auto" w:sz="4" w:space="0"/>
              <w:bottom w:val="single" w:color="auto" w:sz="4" w:space="0"/>
              <w:right w:val="single" w:color="auto" w:sz="4" w:space="0"/>
            </w:tcBorders>
            <w:tcW w:w="661"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5</w:t>
            </w:r>
            <w:r/>
          </w:p>
        </w:tc>
      </w:tr>
      <w:tr>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9"/>
            <w:tcBorders>
              <w:top w:val="single" w:color="auto" w:sz="4" w:space="0"/>
              <w:left w:val="single" w:color="auto" w:sz="4" w:space="0"/>
              <w:bottom w:val="single" w:color="auto" w:sz="4" w:space="0"/>
              <w:right w:val="single" w:color="auto" w:sz="4" w:space="0"/>
            </w:tcBorders>
            <w:tcW w:w="4779" w:type="pct"/>
            <w:vAlign w:val="center"/>
            <w:textDirection w:val="lrTb"/>
            <w:noWrap w:val="false"/>
          </w:tcPr>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Відео</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Камера 4K Ultra HD</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Розподільча здатність та частота кадрів (до 4K при 30 кадрах за секунду, 1080p/720p при 60 кадрах за секунду)</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Датчик зображення 13 МП</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Поле зору по діагоналі 81°</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10-кратне цифрове збільшення</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Автофокусування з розпізнаванням обличчя</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Автоматична експозиція з розпізнаванням обличчя</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Автоматична яскравість і баланс білого</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Вбудований затвор для конфіденційності відео підтримує вимикання та ввімкнення звуку відео</w:t>
            </w:r>
            <w:r/>
          </w:p>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Підтримка форматів відео YUY2/NV12/MJPEG</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Аудіо</w:t>
            </w:r>
            <w:r/>
          </w:p>
        </w:tc>
        <w:tc>
          <w:tcPr>
            <w:gridSpan w:val="7"/>
            <w:tcBorders>
              <w:top w:val="single" w:color="auto" w:sz="4" w:space="0"/>
              <w:left w:val="single" w:color="auto" w:sz="4" w:space="0"/>
              <w:bottom w:val="single" w:color="auto" w:sz="4" w:space="0"/>
              <w:right w:val="single" w:color="auto" w:sz="4" w:space="0"/>
            </w:tcBorders>
            <w:tcW w:w="3317"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два широкоспрямованих мікрофони із зменшенням фонового шуму</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gridSpan w:val="2"/>
            <w:tcBorders>
              <w:top w:val="single" w:color="auto" w:sz="4" w:space="0"/>
              <w:left w:val="single" w:color="auto" w:sz="4" w:space="0"/>
              <w:bottom w:val="single" w:color="auto" w:sz="4" w:space="0"/>
              <w:right w:val="single" w:color="auto" w:sz="4" w:space="0"/>
            </w:tcBorders>
            <w:tcW w:w="1462"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та гарантії</w:t>
            </w:r>
            <w:r/>
          </w:p>
        </w:tc>
        <w:tc>
          <w:tcPr>
            <w:gridSpan w:val="7"/>
            <w:tcBorders>
              <w:top w:val="single" w:color="auto" w:sz="4" w:space="0"/>
              <w:left w:val="single" w:color="auto" w:sz="4" w:space="0"/>
              <w:bottom w:val="single" w:color="auto" w:sz="4" w:space="0"/>
              <w:right w:val="single" w:color="auto" w:sz="4" w:space="0"/>
            </w:tcBorders>
            <w:tcW w:w="3317" w:type="pct"/>
            <w:vAlign w:val="bottom"/>
            <w:textDirection w:val="lrTb"/>
            <w:noWrap w:val="false"/>
          </w:tcPr>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Підтримка від виробника 8x5xNBD, що включає зам</w:t>
            </w:r>
            <w:r>
              <w:rPr>
                <w:rFonts w:ascii="Times New Roman" w:hAnsi="Times New Roman" w:cs="Times New Roman"/>
                <w:sz w:val="24"/>
                <w:szCs w:val="24"/>
              </w:rPr>
              <w:t xml:space="preserve">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в період гарантійного обслуговування або еквівалент на кожну одиницю обладнання щонайменше на 12 місяців.</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Усі складові мають бути від оригінального виробника обладнання.</w:t>
            </w:r>
            <w:r/>
          </w:p>
          <w:p>
            <w:pPr>
              <w:pStyle w:val="720"/>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Все обладнання має бути новим в оригінальній упаковці виробника.</w:t>
            </w:r>
            <w:r/>
          </w:p>
        </w:tc>
      </w:tr>
      <w:tr>
        <w:trPr/>
        <w:tc>
          <w:tcPr>
            <w:tcBorders>
              <w:top w:val="single" w:color="auto" w:sz="4" w:space="0"/>
              <w:left w:val="single" w:color="auto" w:sz="4" w:space="0"/>
              <w:right w:val="single" w:color="auto" w:sz="4" w:space="0"/>
            </w:tcBorders>
            <w:tcW w:w="221" w:type="pct"/>
            <w:vMerge w:val="restar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6.</w:t>
            </w:r>
            <w:r/>
          </w:p>
        </w:tc>
        <w:tc>
          <w:tcPr>
            <w:gridSpan w:val="3"/>
            <w:tcBorders>
              <w:top w:val="single" w:color="auto" w:sz="4" w:space="0"/>
              <w:left w:val="single" w:color="auto" w:sz="4" w:space="0"/>
              <w:bottom w:val="single" w:color="auto" w:sz="4" w:space="0"/>
              <w:right w:val="single" w:color="auto" w:sz="4" w:space="0"/>
            </w:tcBorders>
            <w:tcW w:w="3456"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Комплекс телефонії та контакт-центру у складі: </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Сервер BE7H-M6-K9 - 2 шт., </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CON-SNT-BE7HM6KM - 2 шт., </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VMW-VSP-STD-1A= - 2 шт., </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CON-ISV1-VSXSTD1A - 2 шт.</w:t>
            </w:r>
            <w:r/>
          </w:p>
        </w:tc>
        <w:tc>
          <w:tcPr>
            <w:gridSpan w:val="3"/>
            <w:tcBorders>
              <w:top w:val="single" w:color="auto" w:sz="4" w:space="0"/>
              <w:left w:val="single" w:color="auto" w:sz="4" w:space="0"/>
              <w:bottom w:val="single" w:color="auto" w:sz="4" w:space="0"/>
              <w:right w:val="single" w:color="auto" w:sz="4" w:space="0"/>
            </w:tcBorders>
            <w:tcW w:w="587"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комплект</w:t>
            </w:r>
            <w:r/>
          </w:p>
        </w:tc>
        <w:tc>
          <w:tcPr>
            <w:gridSpan w:val="3"/>
            <w:tcBorders>
              <w:top w:val="single" w:color="auto" w:sz="4" w:space="0"/>
              <w:left w:val="single" w:color="auto" w:sz="4" w:space="0"/>
              <w:bottom w:val="single" w:color="auto" w:sz="4" w:space="0"/>
              <w:right w:val="single" w:color="auto" w:sz="4" w:space="0"/>
            </w:tcBorders>
            <w:tcW w:w="736" w:type="pct"/>
            <w:textDirection w:val="lrTb"/>
            <w:noWrap w:val="false"/>
          </w:tcPr>
          <w:p>
            <w:pPr>
              <w:jc w:val="center"/>
              <w:spacing w:line="240" w:lineRule="auto"/>
              <w:rPr>
                <w:rFonts w:ascii="Times New Roman" w:hAnsi="Times New Roman" w:cs="Times New Roman"/>
                <w:b/>
                <w:sz w:val="24"/>
                <w:szCs w:val="24"/>
              </w:rPr>
              <w:suppressLineNumbers/>
            </w:pPr>
            <w:r>
              <w:rPr>
                <w:rFonts w:ascii="Times New Roman" w:hAnsi="Times New Roman" w:cs="Times New Roman"/>
                <w:b/>
                <w:sz w:val="24"/>
                <w:szCs w:val="24"/>
              </w:rPr>
              <w:t xml:space="preserve">1</w:t>
            </w:r>
            <w:r/>
          </w:p>
        </w:tc>
      </w:tr>
      <w:tr>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pPr>
            <w:r>
              <w:rPr>
                <w:rFonts w:ascii="Times New Roman" w:hAnsi="Times New Roman" w:cs="Times New Roman"/>
                <w:sz w:val="24"/>
                <w:szCs w:val="24"/>
              </w:rPr>
            </w:r>
            <w:r/>
          </w:p>
        </w:tc>
        <w:tc>
          <w:tcPr>
            <w:gridSpan w:val="9"/>
            <w:tcBorders>
              <w:top w:val="single" w:color="auto" w:sz="4" w:space="0"/>
              <w:left w:val="single" w:color="auto" w:sz="4" w:space="0"/>
              <w:bottom w:val="single" w:color="auto" w:sz="4" w:space="0"/>
              <w:right w:val="single" w:color="auto" w:sz="4" w:space="0"/>
            </w:tcBorders>
            <w:tcW w:w="4779" w:type="pct"/>
            <w:vAlign w:val="center"/>
            <w:textDirection w:val="lrTb"/>
            <w:noWrap w:val="false"/>
          </w:tcPr>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Тип пристрою</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keepLines/>
              <w:spacing w:line="240" w:lineRule="auto"/>
              <w:tabs>
                <w:tab w:val="num" w:pos="567" w:leader="none"/>
              </w:tabs>
              <w:rPr>
                <w:rFonts w:ascii="Times New Roman" w:hAnsi="Times New Roman" w:cs="Times New Roman"/>
                <w:sz w:val="24"/>
                <w:szCs w:val="24"/>
                <w:lang w:eastAsia="uk-UA"/>
              </w:rPr>
            </w:pPr>
            <w:r>
              <w:rPr>
                <w:rFonts w:ascii="Times New Roman" w:hAnsi="Times New Roman" w:cs="Times New Roman"/>
                <w:sz w:val="24"/>
                <w:szCs w:val="24"/>
              </w:rPr>
              <w:t xml:space="preserve">Сервер</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Форм-фактор</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не більше 2U з можливістю розміщення сервера в серверній або комунікаційній шафі.  Наявність кріплення для розміщення сервера в серверній (телекомунікаційній) шафі.</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Висота</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2U;</w:t>
            </w:r>
            <w:r/>
          </w:p>
        </w:tc>
      </w:tr>
      <w:tr>
        <w:trPr/>
        <w:tc>
          <w:tcPr>
            <w:tcBorders>
              <w:left w:val="single" w:color="auto" w:sz="4" w:space="0"/>
              <w:right w:val="single" w:color="auto" w:sz="4" w:space="0"/>
            </w:tcBorders>
            <w:tcW w:w="221" w:type="pct"/>
            <w:vMerge w:val="continue"/>
            <w:textDirection w:val="lrTb"/>
            <w:noWrap w:val="false"/>
          </w:tcPr>
          <w:p>
            <w:pPr>
              <w:keepLines/>
              <w:spacing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Процесор</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наявність на сервері не менше 1 од. процесора, серія не гірше Intel® Xeon® 6348, частота не менше 2,6 GHz. Кількість ядер не менше 28.; </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Мережеві порти</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Не менше 2 портів 10 Гbit/c інтегровані до системної плати, та 8 портів 10/100/1000 Мбіт/с за допомогою плат розширення.</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Пам'ять в комплекті</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не менше 192 Гбайт не гірше RDIMM 3200. Модулі ємністю 16 Гбайт</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Дисковий контролер</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12Gb/s RAID контролера з підтримкою режиму RAID 0, 1, 5, 6</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Жорсткий диск</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не менше 24 дисків 600GB 12G SAS 10K RPM з можливістю гарячої заміни 2,5” SFF.</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vAlign w:val="bottom"/>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Блок живлення</w:t>
            </w:r>
            <w:r/>
          </w:p>
        </w:tc>
        <w:tc>
          <w:tcPr>
            <w:gridSpan w:val="8"/>
            <w:tcBorders>
              <w:top w:val="single" w:color="auto" w:sz="4" w:space="0"/>
              <w:left w:val="single" w:color="auto" w:sz="4" w:space="0"/>
              <w:bottom w:val="single" w:color="auto" w:sz="4" w:space="0"/>
              <w:right w:val="single" w:color="auto" w:sz="4" w:space="0"/>
            </w:tcBorders>
            <w:tcW w:w="3369" w:type="pct"/>
            <w:vAlign w:val="bottom"/>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2 блоків живлення;</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vAlign w:val="bottom"/>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Блок живлення в комплекті</w:t>
            </w:r>
            <w:r/>
          </w:p>
        </w:tc>
        <w:tc>
          <w:tcPr>
            <w:gridSpan w:val="8"/>
            <w:tcBorders>
              <w:top w:val="single" w:color="auto" w:sz="4" w:space="0"/>
              <w:left w:val="single" w:color="auto" w:sz="4" w:space="0"/>
              <w:bottom w:val="single" w:color="auto" w:sz="4" w:space="0"/>
              <w:right w:val="single" w:color="auto" w:sz="4" w:space="0"/>
            </w:tcBorders>
            <w:tcW w:w="3369" w:type="pct"/>
            <w:vAlign w:val="bottom"/>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 сервері двох блоків живлення потужністю не менше 1050Вт;</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vAlign w:val="bottom"/>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Програмне забезпечення</w:t>
            </w:r>
            <w:r/>
          </w:p>
        </w:tc>
        <w:tc>
          <w:tcPr>
            <w:gridSpan w:val="8"/>
            <w:tcBorders>
              <w:top w:val="single" w:color="auto" w:sz="4" w:space="0"/>
              <w:left w:val="single" w:color="auto" w:sz="4" w:space="0"/>
              <w:bottom w:val="single" w:color="auto" w:sz="4" w:space="0"/>
              <w:right w:val="single" w:color="auto" w:sz="4" w:space="0"/>
            </w:tcBorders>
            <w:tcW w:w="3369" w:type="pct"/>
            <w:vAlign w:val="bottom"/>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Гіпервізор VMware Standart</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Сумісність</w:t>
            </w:r>
            <w:r/>
          </w:p>
        </w:tc>
        <w:tc>
          <w:tcPr>
            <w:gridSpan w:val="8"/>
            <w:tcBorders>
              <w:top w:val="single" w:color="auto" w:sz="4" w:space="0"/>
              <w:left w:val="single" w:color="auto" w:sz="4" w:space="0"/>
              <w:bottom w:val="single" w:color="auto" w:sz="4" w:space="0"/>
              <w:right w:val="single" w:color="auto" w:sz="4" w:space="0"/>
            </w:tcBorders>
            <w:tcW w:w="3369" w:type="pct"/>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Сумісність та підтримка виробником існуючих систем </w:t>
            </w:r>
            <w:r>
              <w:rPr>
                <w:rFonts w:ascii="Times New Roman" w:hAnsi="Times New Roman" w:cs="Times New Roman"/>
                <w:sz w:val="24"/>
                <w:szCs w:val="24"/>
                <w:lang w:val="en-US"/>
              </w:rPr>
              <w:t xml:space="preserve">IP</w:t>
            </w:r>
            <w:r>
              <w:rPr>
                <w:rFonts w:ascii="Times New Roman" w:hAnsi="Times New Roman" w:cs="Times New Roman"/>
                <w:sz w:val="24"/>
                <w:szCs w:val="24"/>
              </w:rPr>
              <w:t xml:space="preserve"> АТС та контактцентру</w:t>
            </w:r>
            <w:r/>
          </w:p>
        </w:tc>
      </w:tr>
      <w:tr>
        <w:trPr>
          <w:trHeight w:val="20"/>
        </w:trPr>
        <w:tc>
          <w:tcPr>
            <w:tcBorders>
              <w:left w:val="single" w:color="auto" w:sz="4" w:space="0"/>
              <w:right w:val="single" w:color="auto" w:sz="4" w:space="0"/>
            </w:tcBorders>
            <w:tcW w:w="221" w:type="pct"/>
            <w:vAlign w:val="center"/>
            <w:vMerge w:val="continue"/>
            <w:textDirection w:val="lrTb"/>
            <w:noWrap w:val="false"/>
          </w:tcPr>
          <w:p>
            <w:pPr>
              <w:spacing w:line="240" w:lineRule="auto"/>
              <w:rPr>
                <w:rFonts w:ascii="Times New Roman" w:hAnsi="Times New Roman" w:cs="Times New Roman"/>
                <w:sz w:val="24"/>
                <w:szCs w:val="24"/>
              </w:rPr>
              <w:suppressLineNumbers/>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410" w:type="pct"/>
            <w:textDirection w:val="lrTb"/>
            <w:noWrap w:val="false"/>
          </w:tcPr>
          <w:p>
            <w:pPr>
              <w:keepLines/>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та гарантії</w:t>
            </w:r>
            <w:r/>
          </w:p>
        </w:tc>
        <w:tc>
          <w:tcPr>
            <w:gridSpan w:val="8"/>
            <w:tcBorders>
              <w:top w:val="single" w:color="auto" w:sz="4" w:space="0"/>
              <w:left w:val="single" w:color="auto" w:sz="4" w:space="0"/>
              <w:bottom w:val="single" w:color="auto" w:sz="4" w:space="0"/>
              <w:right w:val="single" w:color="auto" w:sz="4" w:space="0"/>
            </w:tcBorders>
            <w:tcW w:w="3369" w:type="pct"/>
            <w:vAlign w:val="bottom"/>
            <w:textDirection w:val="lrTb"/>
            <w:noWrap w:val="false"/>
          </w:tcPr>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Підтримка від виробника 8x5xNBD, що включає зам</w:t>
            </w:r>
            <w:r>
              <w:rPr>
                <w:rFonts w:ascii="Times New Roman" w:hAnsi="Times New Roman" w:cs="Times New Roman"/>
                <w:sz w:val="24"/>
                <w:szCs w:val="24"/>
              </w:rPr>
              <w:t xml:space="preserve">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в період гарантійного обслуговування або еквівалент на кожну одиницю обладнання щонайменше на 12 місяців.</w:t>
            </w:r>
            <w:r/>
          </w:p>
          <w:p>
            <w:pPr>
              <w:pStyle w:val="720"/>
              <w:numPr>
                <w:ilvl w:val="0"/>
                <w:numId w:val="32"/>
              </w:numPr>
              <w:jc w:val="both"/>
              <w:spacing w:after="0"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Усі складові мають бути від оригінального виробника обладнання.</w:t>
            </w:r>
            <w:r/>
          </w:p>
          <w:p>
            <w:pPr>
              <w:pStyle w:val="720"/>
              <w:jc w:val="both"/>
              <w:spacing w:line="240" w:lineRule="auto"/>
              <w:rPr>
                <w:rFonts w:ascii="Times New Roman" w:hAnsi="Times New Roman" w:cs="Times New Roman"/>
                <w:sz w:val="24"/>
                <w:szCs w:val="24"/>
              </w:rPr>
              <w:suppressLineNumbers/>
            </w:pPr>
            <w:r>
              <w:rPr>
                <w:rFonts w:ascii="Times New Roman" w:hAnsi="Times New Roman" w:cs="Times New Roman"/>
                <w:sz w:val="24"/>
                <w:szCs w:val="24"/>
              </w:rPr>
              <w:t xml:space="preserve">Все обладнання має бути новим в оригінальній упаковці виробника.</w:t>
            </w:r>
            <w:r/>
          </w:p>
        </w:tc>
      </w:tr>
    </w:tbl>
    <w:p>
      <w:pPr>
        <w:contextualSpacing/>
        <w:ind w:right="-1" w:firstLine="567"/>
        <w:jc w:val="both"/>
        <w:spacing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firstLine="567"/>
        <w:jc w:val="both"/>
        <w:spacing w:after="0" w:line="240" w:lineRule="auto"/>
        <w:tabs>
          <w:tab w:val="left" w:pos="540" w:leader="none"/>
          <w:tab w:val="left" w:pos="6840"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Учасник якого визначено переможцем процедури закупівлі, перед укладанням договору проводить експертизу та/або експертн</w:t>
      </w:r>
      <w:r>
        <w:rPr>
          <w:rFonts w:ascii="Times New Roman" w:hAnsi="Times New Roman" w:cs="Times New Roman"/>
          <w:color w:val="000000"/>
          <w:sz w:val="24"/>
          <w:szCs w:val="24"/>
        </w:rPr>
        <w:t xml:space="preserve">у оцінку та/або незалежну оцінку вартості товару та послуг, за результатом аукціону, вказаних в Додатку 5 до тендерної документації та надає Замовнику документ що підтверджує вартість вказаного товару та послуг. У разі надання документу де вартість буде ни</w:t>
      </w:r>
      <w:r>
        <w:rPr>
          <w:rFonts w:ascii="Times New Roman" w:hAnsi="Times New Roman" w:cs="Times New Roman"/>
          <w:color w:val="000000"/>
          <w:sz w:val="24"/>
          <w:szCs w:val="24"/>
        </w:rPr>
        <w:t xml:space="preserve">жча ніж зазначив Учасник за результатом аукціону, Учасник-Переможець укладає разом із договором додаткову угоду на зменшення вартості за одиницю товару та/або послуг, що входять до складу закупівлі (надати у складі тендерної документації гарантійний лист).</w:t>
      </w:r>
      <w:r/>
    </w:p>
    <w:p>
      <w:pPr>
        <w:ind w:firstLine="567"/>
        <w:jc w:val="both"/>
        <w:spacing w:after="0" w:line="240" w:lineRule="auto"/>
        <w:tabs>
          <w:tab w:val="left" w:pos="540" w:leader="none"/>
          <w:tab w:val="left" w:pos="6840" w:leader="none"/>
        </w:tabs>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32 038 547,40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тридцять два мільйони тридцять вісім тисяч п’ятсот сорок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2"/>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2"/>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8"/>
  </w:num>
  <w:num w:numId="2">
    <w:abstractNumId w:val="14"/>
  </w:num>
  <w:num w:numId="3">
    <w:abstractNumId w:val="6"/>
  </w:num>
  <w:num w:numId="4">
    <w:abstractNumId w:val="20"/>
  </w:num>
  <w:num w:numId="5">
    <w:abstractNumId w:val="5"/>
  </w:num>
  <w:num w:numId="6">
    <w:abstractNumId w:val="29"/>
  </w:num>
  <w:num w:numId="7">
    <w:abstractNumId w:val="9"/>
  </w:num>
  <w:num w:numId="8">
    <w:abstractNumId w:val="31"/>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num>
  <w:num w:numId="17">
    <w:abstractNumId w:val="0"/>
  </w:num>
  <w:num w:numId="18">
    <w:abstractNumId w:val="34"/>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4"/>
  </w:num>
  <w:num w:numId="28">
    <w:abstractNumId w:val="16"/>
  </w:num>
  <w:num w:numId="29">
    <w:abstractNumId w:val="26"/>
  </w:num>
  <w:num w:numId="30">
    <w:abstractNumId w:val="13"/>
  </w:num>
  <w:num w:numId="31">
    <w:abstractNumId w:val="2"/>
  </w:num>
  <w:num w:numId="32">
    <w:abstractNumId w:val="32"/>
  </w:num>
  <w:num w:numId="33">
    <w:abstractNumId w:val="33"/>
  </w:num>
  <w:num w:numId="34">
    <w:abstractNumId w:val="23"/>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5"/>
    <w:next w:val="71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7"/>
    <w:link w:val="12"/>
    <w:uiPriority w:val="9"/>
    <w:rPr>
      <w:rFonts w:ascii="Arial" w:hAnsi="Arial" w:eastAsia="Arial" w:cs="Arial"/>
      <w:sz w:val="40"/>
      <w:szCs w:val="40"/>
    </w:rPr>
  </w:style>
  <w:style w:type="character" w:styleId="15">
    <w:name w:val="Heading 2 Char"/>
    <w:basedOn w:val="717"/>
    <w:link w:val="716"/>
    <w:uiPriority w:val="9"/>
    <w:rPr>
      <w:rFonts w:ascii="Arial" w:hAnsi="Arial" w:eastAsia="Arial" w:cs="Arial"/>
      <w:sz w:val="34"/>
    </w:rPr>
  </w:style>
  <w:style w:type="paragraph" w:styleId="16">
    <w:name w:val="Heading 3"/>
    <w:basedOn w:val="715"/>
    <w:next w:val="71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7"/>
    <w:link w:val="16"/>
    <w:uiPriority w:val="9"/>
    <w:rPr>
      <w:rFonts w:ascii="Arial" w:hAnsi="Arial" w:eastAsia="Arial" w:cs="Arial"/>
      <w:sz w:val="30"/>
      <w:szCs w:val="30"/>
    </w:rPr>
  </w:style>
  <w:style w:type="paragraph" w:styleId="18">
    <w:name w:val="Heading 4"/>
    <w:basedOn w:val="715"/>
    <w:next w:val="71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7"/>
    <w:link w:val="18"/>
    <w:uiPriority w:val="9"/>
    <w:rPr>
      <w:rFonts w:ascii="Arial" w:hAnsi="Arial" w:eastAsia="Arial" w:cs="Arial"/>
      <w:b/>
      <w:bCs/>
      <w:sz w:val="26"/>
      <w:szCs w:val="26"/>
    </w:rPr>
  </w:style>
  <w:style w:type="paragraph" w:styleId="20">
    <w:name w:val="Heading 5"/>
    <w:basedOn w:val="715"/>
    <w:next w:val="71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7"/>
    <w:link w:val="20"/>
    <w:uiPriority w:val="9"/>
    <w:rPr>
      <w:rFonts w:ascii="Arial" w:hAnsi="Arial" w:eastAsia="Arial" w:cs="Arial"/>
      <w:b/>
      <w:bCs/>
      <w:sz w:val="24"/>
      <w:szCs w:val="24"/>
    </w:rPr>
  </w:style>
  <w:style w:type="paragraph" w:styleId="22">
    <w:name w:val="Heading 6"/>
    <w:basedOn w:val="715"/>
    <w:next w:val="71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7"/>
    <w:link w:val="22"/>
    <w:uiPriority w:val="9"/>
    <w:rPr>
      <w:rFonts w:ascii="Arial" w:hAnsi="Arial" w:eastAsia="Arial" w:cs="Arial"/>
      <w:b/>
      <w:bCs/>
      <w:sz w:val="22"/>
      <w:szCs w:val="22"/>
    </w:rPr>
  </w:style>
  <w:style w:type="paragraph" w:styleId="24">
    <w:name w:val="Heading 7"/>
    <w:basedOn w:val="715"/>
    <w:next w:val="71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7"/>
    <w:link w:val="24"/>
    <w:uiPriority w:val="9"/>
    <w:rPr>
      <w:rFonts w:ascii="Arial" w:hAnsi="Arial" w:eastAsia="Arial" w:cs="Arial"/>
      <w:b/>
      <w:bCs/>
      <w:i/>
      <w:iCs/>
      <w:sz w:val="22"/>
      <w:szCs w:val="22"/>
    </w:rPr>
  </w:style>
  <w:style w:type="paragraph" w:styleId="26">
    <w:name w:val="Heading 8"/>
    <w:basedOn w:val="715"/>
    <w:next w:val="71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7"/>
    <w:link w:val="26"/>
    <w:uiPriority w:val="9"/>
    <w:rPr>
      <w:rFonts w:ascii="Arial" w:hAnsi="Arial" w:eastAsia="Arial" w:cs="Arial"/>
      <w:i/>
      <w:iCs/>
      <w:sz w:val="22"/>
      <w:szCs w:val="22"/>
    </w:rPr>
  </w:style>
  <w:style w:type="paragraph" w:styleId="28">
    <w:name w:val="Heading 9"/>
    <w:basedOn w:val="715"/>
    <w:next w:val="71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7"/>
    <w:link w:val="28"/>
    <w:uiPriority w:val="9"/>
    <w:rPr>
      <w:rFonts w:ascii="Arial" w:hAnsi="Arial" w:eastAsia="Arial" w:cs="Arial"/>
      <w:i/>
      <w:iCs/>
      <w:sz w:val="21"/>
      <w:szCs w:val="21"/>
    </w:rPr>
  </w:style>
  <w:style w:type="paragraph" w:styleId="33">
    <w:name w:val="Title"/>
    <w:basedOn w:val="715"/>
    <w:next w:val="715"/>
    <w:link w:val="34"/>
    <w:uiPriority w:val="10"/>
    <w:qFormat/>
    <w:pPr>
      <w:contextualSpacing/>
      <w:spacing w:before="300" w:after="200"/>
    </w:pPr>
    <w:rPr>
      <w:sz w:val="48"/>
      <w:szCs w:val="48"/>
    </w:rPr>
  </w:style>
  <w:style w:type="character" w:styleId="34">
    <w:name w:val="Title Char"/>
    <w:basedOn w:val="717"/>
    <w:link w:val="33"/>
    <w:uiPriority w:val="10"/>
    <w:rPr>
      <w:sz w:val="48"/>
      <w:szCs w:val="48"/>
    </w:rPr>
  </w:style>
  <w:style w:type="paragraph" w:styleId="35">
    <w:name w:val="Subtitle"/>
    <w:basedOn w:val="715"/>
    <w:next w:val="715"/>
    <w:link w:val="36"/>
    <w:uiPriority w:val="11"/>
    <w:qFormat/>
    <w:pPr>
      <w:spacing w:before="200" w:after="200"/>
    </w:pPr>
    <w:rPr>
      <w:sz w:val="24"/>
      <w:szCs w:val="24"/>
    </w:rPr>
  </w:style>
  <w:style w:type="character" w:styleId="36">
    <w:name w:val="Subtitle Char"/>
    <w:basedOn w:val="717"/>
    <w:link w:val="35"/>
    <w:uiPriority w:val="11"/>
    <w:rPr>
      <w:sz w:val="24"/>
      <w:szCs w:val="24"/>
    </w:rPr>
  </w:style>
  <w:style w:type="paragraph" w:styleId="37">
    <w:name w:val="Quote"/>
    <w:basedOn w:val="715"/>
    <w:next w:val="715"/>
    <w:link w:val="38"/>
    <w:uiPriority w:val="29"/>
    <w:qFormat/>
    <w:pPr>
      <w:ind w:left="720" w:right="720"/>
    </w:pPr>
    <w:rPr>
      <w:i/>
    </w:rPr>
  </w:style>
  <w:style w:type="character" w:styleId="38">
    <w:name w:val="Quote Char"/>
    <w:link w:val="37"/>
    <w:uiPriority w:val="29"/>
    <w:rPr>
      <w:i/>
    </w:rPr>
  </w:style>
  <w:style w:type="paragraph" w:styleId="39">
    <w:name w:val="Intense Quote"/>
    <w:basedOn w:val="715"/>
    <w:next w:val="71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5"/>
    <w:link w:val="42"/>
    <w:uiPriority w:val="99"/>
    <w:unhideWhenUsed/>
    <w:pPr>
      <w:spacing w:after="0" w:line="240" w:lineRule="auto"/>
      <w:tabs>
        <w:tab w:val="center" w:pos="7143" w:leader="none"/>
        <w:tab w:val="right" w:pos="14287" w:leader="none"/>
      </w:tabs>
    </w:pPr>
  </w:style>
  <w:style w:type="character" w:styleId="42">
    <w:name w:val="Header Char"/>
    <w:basedOn w:val="717"/>
    <w:link w:val="41"/>
    <w:uiPriority w:val="99"/>
  </w:style>
  <w:style w:type="character" w:styleId="44">
    <w:name w:val="Footer Char"/>
    <w:basedOn w:val="717"/>
    <w:link w:val="726"/>
    <w:uiPriority w:val="99"/>
  </w:style>
  <w:style w:type="paragraph" w:styleId="45">
    <w:name w:val="Caption"/>
    <w:basedOn w:val="715"/>
    <w:next w:val="715"/>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7"/>
    <w:uiPriority w:val="99"/>
    <w:unhideWhenUsed/>
    <w:rPr>
      <w:vertAlign w:val="superscript"/>
    </w:rPr>
  </w:style>
  <w:style w:type="paragraph" w:styleId="177">
    <w:name w:val="endnote text"/>
    <w:basedOn w:val="71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7"/>
    <w:uiPriority w:val="99"/>
    <w:semiHidden/>
    <w:unhideWhenUsed/>
    <w:rPr>
      <w:vertAlign w:val="superscript"/>
    </w:rPr>
  </w:style>
  <w:style w:type="paragraph" w:styleId="180">
    <w:name w:val="toc 1"/>
    <w:basedOn w:val="715"/>
    <w:next w:val="715"/>
    <w:uiPriority w:val="39"/>
    <w:unhideWhenUsed/>
    <w:pPr>
      <w:ind w:left="0" w:right="0" w:firstLine="0"/>
      <w:spacing w:after="57"/>
    </w:pPr>
  </w:style>
  <w:style w:type="paragraph" w:styleId="181">
    <w:name w:val="toc 2"/>
    <w:basedOn w:val="715"/>
    <w:next w:val="715"/>
    <w:uiPriority w:val="39"/>
    <w:unhideWhenUsed/>
    <w:pPr>
      <w:ind w:left="283" w:right="0" w:firstLine="0"/>
      <w:spacing w:after="57"/>
    </w:pPr>
  </w:style>
  <w:style w:type="paragraph" w:styleId="182">
    <w:name w:val="toc 3"/>
    <w:basedOn w:val="715"/>
    <w:next w:val="715"/>
    <w:uiPriority w:val="39"/>
    <w:unhideWhenUsed/>
    <w:pPr>
      <w:ind w:left="567" w:right="0" w:firstLine="0"/>
      <w:spacing w:after="57"/>
    </w:pPr>
  </w:style>
  <w:style w:type="paragraph" w:styleId="183">
    <w:name w:val="toc 4"/>
    <w:basedOn w:val="715"/>
    <w:next w:val="715"/>
    <w:uiPriority w:val="39"/>
    <w:unhideWhenUsed/>
    <w:pPr>
      <w:ind w:left="850" w:right="0" w:firstLine="0"/>
      <w:spacing w:after="57"/>
    </w:pPr>
  </w:style>
  <w:style w:type="paragraph" w:styleId="184">
    <w:name w:val="toc 5"/>
    <w:basedOn w:val="715"/>
    <w:next w:val="715"/>
    <w:uiPriority w:val="39"/>
    <w:unhideWhenUsed/>
    <w:pPr>
      <w:ind w:left="1134" w:right="0" w:firstLine="0"/>
      <w:spacing w:after="57"/>
    </w:pPr>
  </w:style>
  <w:style w:type="paragraph" w:styleId="185">
    <w:name w:val="toc 6"/>
    <w:basedOn w:val="715"/>
    <w:next w:val="715"/>
    <w:uiPriority w:val="39"/>
    <w:unhideWhenUsed/>
    <w:pPr>
      <w:ind w:left="1417" w:right="0" w:firstLine="0"/>
      <w:spacing w:after="57"/>
    </w:pPr>
  </w:style>
  <w:style w:type="paragraph" w:styleId="186">
    <w:name w:val="toc 7"/>
    <w:basedOn w:val="715"/>
    <w:next w:val="715"/>
    <w:uiPriority w:val="39"/>
    <w:unhideWhenUsed/>
    <w:pPr>
      <w:ind w:left="1701" w:right="0" w:firstLine="0"/>
      <w:spacing w:after="57"/>
    </w:pPr>
  </w:style>
  <w:style w:type="paragraph" w:styleId="187">
    <w:name w:val="toc 8"/>
    <w:basedOn w:val="715"/>
    <w:next w:val="715"/>
    <w:uiPriority w:val="39"/>
    <w:unhideWhenUsed/>
    <w:pPr>
      <w:ind w:left="1984" w:right="0" w:firstLine="0"/>
      <w:spacing w:after="57"/>
    </w:pPr>
  </w:style>
  <w:style w:type="paragraph" w:styleId="188">
    <w:name w:val="toc 9"/>
    <w:basedOn w:val="715"/>
    <w:next w:val="71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5"/>
    <w:next w:val="715"/>
    <w:uiPriority w:val="99"/>
    <w:unhideWhenUsed/>
    <w:pPr>
      <w:spacing w:after="0" w:afterAutospacing="0"/>
    </w:pPr>
  </w:style>
  <w:style w:type="paragraph" w:styleId="715" w:default="1">
    <w:name w:val="Normal"/>
    <w:qFormat/>
    <w:rPr>
      <w:lang w:val="uk-UA"/>
    </w:rPr>
  </w:style>
  <w:style w:type="paragraph" w:styleId="716">
    <w:name w:val="Heading 2"/>
    <w:basedOn w:val="715"/>
    <w:link w:val="73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17" w:default="1">
    <w:name w:val="Default Paragraph Font"/>
    <w:uiPriority w:val="1"/>
    <w:semiHidden/>
    <w:unhideWhenUsed/>
  </w:style>
  <w:style w:type="table" w:styleId="718" w:default="1">
    <w:name w:val="Normal Table"/>
    <w:uiPriority w:val="99"/>
    <w:semiHidden/>
    <w:unhideWhenUsed/>
    <w:tblPr>
      <w:tblInd w:w="0" w:type="dxa"/>
      <w:tblCellMar>
        <w:left w:w="108" w:type="dxa"/>
        <w:top w:w="0" w:type="dxa"/>
        <w:right w:w="108" w:type="dxa"/>
        <w:bottom w:w="0" w:type="dxa"/>
      </w:tblCellMar>
    </w:tblPr>
  </w:style>
  <w:style w:type="numbering" w:styleId="719" w:default="1">
    <w:name w:val="No List"/>
    <w:uiPriority w:val="99"/>
    <w:semiHidden/>
    <w:unhideWhenUsed/>
  </w:style>
  <w:style w:type="paragraph" w:styleId="720">
    <w:name w:val="List Paragraph"/>
    <w:basedOn w:val="715"/>
    <w:link w:val="721"/>
    <w:uiPriority w:val="34"/>
    <w:qFormat/>
    <w:pPr>
      <w:contextualSpacing/>
      <w:ind w:left="720"/>
      <w:spacing w:after="200" w:line="276" w:lineRule="auto"/>
    </w:pPr>
    <w:rPr>
      <w:rFonts w:ascii="Calibri" w:hAnsi="Calibri" w:eastAsia="Calibri" w:cs="Calibri"/>
      <w:lang w:val="ru-RU" w:eastAsia="zh-CN"/>
    </w:rPr>
  </w:style>
  <w:style w:type="character" w:styleId="721" w:customStyle="1">
    <w:name w:val="Абзац списку Знак"/>
    <w:link w:val="720"/>
    <w:uiPriority w:val="34"/>
    <w:qFormat/>
    <w:rPr>
      <w:rFonts w:ascii="Calibri" w:hAnsi="Calibri" w:eastAsia="Calibri" w:cs="Calibri"/>
      <w:lang w:eastAsia="zh-CN"/>
    </w:rPr>
  </w:style>
  <w:style w:type="table" w:styleId="722">
    <w:name w:val="Table Grid"/>
    <w:basedOn w:val="71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3" w:customStyle="1">
    <w:name w:val="Сетка таблицы2"/>
    <w:basedOn w:val="718"/>
    <w:next w:val="72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Normal (Web)"/>
    <w:basedOn w:val="715"/>
    <w:link w:val="731"/>
    <w:unhideWhenUsed/>
    <w:qFormat/>
    <w:rPr>
      <w:rFonts w:ascii="Times New Roman" w:hAnsi="Times New Roman" w:cs="Times New Roman"/>
      <w:sz w:val="24"/>
      <w:szCs w:val="24"/>
    </w:rPr>
  </w:style>
  <w:style w:type="table" w:styleId="725" w:customStyle="1">
    <w:name w:val="Сетка таблицы1"/>
    <w:basedOn w:val="718"/>
    <w:next w:val="72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6">
    <w:name w:val="Footer"/>
    <w:basedOn w:val="715"/>
    <w:link w:val="72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27" w:customStyle="1">
    <w:name w:val="Нижній колонтитул Знак"/>
    <w:basedOn w:val="717"/>
    <w:link w:val="726"/>
    <w:uiPriority w:val="99"/>
    <w:rPr>
      <w:rFonts w:ascii="Calibri" w:hAnsi="Calibri" w:eastAsia="Calibri" w:cs="Calibri"/>
      <w:lang w:eastAsia="zh-CN"/>
    </w:rPr>
  </w:style>
  <w:style w:type="paragraph" w:styleId="72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29">
    <w:name w:val="Hyperlink"/>
    <w:basedOn w:val="717"/>
    <w:uiPriority w:val="99"/>
    <w:unhideWhenUsed/>
    <w:rPr>
      <w:color w:val="0563c1" w:themeColor="hyperlink"/>
      <w:u w:val="single"/>
    </w:rPr>
  </w:style>
  <w:style w:type="character" w:styleId="730" w:customStyle="1">
    <w:name w:val="xfm_93972720"/>
    <w:basedOn w:val="717"/>
  </w:style>
  <w:style w:type="character" w:styleId="731" w:customStyle="1">
    <w:name w:val="Звичайний (веб) Знак"/>
    <w:link w:val="724"/>
    <w:qFormat/>
    <w:rPr>
      <w:rFonts w:ascii="Times New Roman" w:hAnsi="Times New Roman" w:cs="Times New Roman"/>
      <w:sz w:val="24"/>
      <w:szCs w:val="24"/>
      <w:lang w:val="uk-UA"/>
    </w:rPr>
  </w:style>
  <w:style w:type="paragraph" w:styleId="732">
    <w:name w:val="Body Text 2"/>
    <w:basedOn w:val="715"/>
    <w:link w:val="733"/>
    <w:pPr>
      <w:spacing w:after="0" w:line="240" w:lineRule="auto"/>
    </w:pPr>
    <w:rPr>
      <w:rFonts w:ascii="Times New Roman" w:hAnsi="Times New Roman" w:eastAsia="Times New Roman" w:cs="Times New Roman"/>
      <w:sz w:val="28"/>
      <w:szCs w:val="20"/>
      <w:lang w:val="ru-RU" w:eastAsia="ru-RU"/>
    </w:rPr>
  </w:style>
  <w:style w:type="character" w:styleId="733" w:customStyle="1">
    <w:name w:val="Основний текст 2 Знак"/>
    <w:basedOn w:val="717"/>
    <w:link w:val="732"/>
    <w:rPr>
      <w:rFonts w:ascii="Times New Roman" w:hAnsi="Times New Roman" w:eastAsia="Times New Roman" w:cs="Times New Roman"/>
      <w:sz w:val="28"/>
      <w:szCs w:val="20"/>
      <w:lang w:eastAsia="ru-RU"/>
    </w:rPr>
  </w:style>
  <w:style w:type="paragraph" w:styleId="73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35" w:customStyle="1">
    <w:name w:val="Заголовок 2 Знак"/>
    <w:basedOn w:val="717"/>
    <w:link w:val="716"/>
    <w:uiPriority w:val="9"/>
    <w:rPr>
      <w:rFonts w:ascii="Times New Roman" w:hAnsi="Times New Roman" w:eastAsia="Times New Roman" w:cs="Times New Roman"/>
      <w:b/>
      <w:bCs/>
      <w:sz w:val="36"/>
      <w:szCs w:val="36"/>
      <w:lang w:val="uk-UA" w:eastAsia="uk-UA"/>
    </w:rPr>
  </w:style>
  <w:style w:type="paragraph" w:styleId="736">
    <w:name w:val="No Spacing"/>
    <w:link w:val="737"/>
    <w:uiPriority w:val="1"/>
    <w:qFormat/>
    <w:pPr>
      <w:spacing w:after="0" w:line="240" w:lineRule="auto"/>
    </w:pPr>
    <w:rPr>
      <w:rFonts w:ascii="Calibri" w:hAnsi="Calibri" w:eastAsia="Calibri" w:cs="Times New Roman"/>
      <w:lang w:val="uk-UA"/>
    </w:rPr>
  </w:style>
  <w:style w:type="character" w:styleId="737" w:customStyle="1">
    <w:name w:val="Без інтервалів Знак"/>
    <w:basedOn w:val="717"/>
    <w:link w:val="736"/>
    <w:uiPriority w:val="1"/>
    <w:rPr>
      <w:rFonts w:ascii="Calibri" w:hAnsi="Calibri" w:eastAsia="Calibri" w:cs="Times New Roman"/>
      <w:lang w:val="uk-UA"/>
    </w:rPr>
  </w:style>
  <w:style w:type="character" w:styleId="738" w:customStyle="1">
    <w:name w:val="Другое_"/>
    <w:basedOn w:val="717"/>
    <w:link w:val="739"/>
    <w:rPr>
      <w:rFonts w:ascii="Calibri" w:hAnsi="Calibri" w:eastAsia="Calibri" w:cs="Calibri"/>
      <w:sz w:val="20"/>
      <w:szCs w:val="20"/>
    </w:rPr>
  </w:style>
  <w:style w:type="paragraph" w:styleId="739" w:customStyle="1">
    <w:name w:val="Другое"/>
    <w:basedOn w:val="715"/>
    <w:link w:val="738"/>
    <w:qFormat/>
    <w:pPr>
      <w:spacing w:after="0" w:line="240" w:lineRule="auto"/>
      <w:widowControl w:val="off"/>
    </w:pPr>
    <w:rPr>
      <w:rFonts w:ascii="Calibri" w:hAnsi="Calibri" w:eastAsia="Calibri" w:cs="Calibri"/>
      <w:sz w:val="20"/>
      <w:szCs w:val="20"/>
      <w:lang w:val="ru-RU"/>
    </w:rPr>
  </w:style>
  <w:style w:type="paragraph" w:styleId="74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1" w:customStyle="1">
    <w:name w:val="Основной текст (2)_"/>
    <w:basedOn w:val="717"/>
    <w:link w:val="742"/>
    <w:rPr>
      <w:rFonts w:eastAsia="Times New Roman" w:cs="Times New Roman"/>
      <w:shd w:val="clear" w:color="auto" w:fill="ffffff"/>
    </w:rPr>
  </w:style>
  <w:style w:type="paragraph" w:styleId="742" w:customStyle="1">
    <w:name w:val="Основной текст (2)"/>
    <w:basedOn w:val="715"/>
    <w:link w:val="741"/>
    <w:pPr>
      <w:ind w:hanging="700"/>
      <w:jc w:val="both"/>
      <w:spacing w:before="240" w:after="480" w:line="0" w:lineRule="atLeast"/>
      <w:shd w:val="clear" w:color="auto" w:fill="ffffff"/>
      <w:widowControl w:val="off"/>
    </w:pPr>
    <w:rPr>
      <w:rFonts w:eastAsia="Times New Roman" w:cs="Times New Roman"/>
      <w:lang w:val="ru-RU"/>
    </w:rPr>
  </w:style>
  <w:style w:type="character" w:styleId="743" w:customStyle="1">
    <w:name w:val="Текст у виносці Знак"/>
    <w:basedOn w:val="717"/>
    <w:link w:val="744"/>
    <w:uiPriority w:val="99"/>
    <w:semiHidden/>
    <w:rPr>
      <w:rFonts w:ascii="Segoe UI" w:hAnsi="Segoe UI" w:eastAsia="Times New Roman" w:cs="Segoe UI"/>
      <w:sz w:val="18"/>
      <w:szCs w:val="18"/>
      <w:lang w:eastAsia="ru-RU"/>
    </w:rPr>
  </w:style>
  <w:style w:type="paragraph" w:styleId="744">
    <w:name w:val="Balloon Text"/>
    <w:basedOn w:val="715"/>
    <w:link w:val="74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45" w:customStyle="1">
    <w:name w:val="Текст у виносці Знак1"/>
    <w:basedOn w:val="717"/>
    <w:uiPriority w:val="99"/>
    <w:semiHidden/>
    <w:rPr>
      <w:rFonts w:ascii="Segoe UI" w:hAnsi="Segoe UI" w:cs="Segoe UI"/>
      <w:sz w:val="18"/>
      <w:szCs w:val="18"/>
      <w:lang w:val="uk-UA"/>
    </w:rPr>
  </w:style>
  <w:style w:type="character" w:styleId="746" w:customStyle="1">
    <w:name w:val="T23"/>
    <w:rPr>
      <w:rFonts w:hint="default" w:ascii="Times New Roman" w:hAnsi="Times New Roman" w:eastAsia="Times New Roman1" w:cs="Times New Roman"/>
    </w:rPr>
  </w:style>
  <w:style w:type="paragraph" w:styleId="747" w:customStyle="1">
    <w:name w:val="Абзац списку1"/>
    <w:basedOn w:val="71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48" w:customStyle="1">
    <w:name w:val="markedcontent"/>
    <w:basedOn w:val="717"/>
  </w:style>
  <w:style w:type="paragraph" w:styleId="749">
    <w:name w:val="annotation text"/>
    <w:basedOn w:val="715"/>
    <w:link w:val="75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0" w:customStyle="1">
    <w:name w:val="Текст примітки Знак"/>
    <w:basedOn w:val="717"/>
    <w:link w:val="749"/>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146</cp:revision>
  <dcterms:created xsi:type="dcterms:W3CDTF">2022-11-01T12:47:00Z</dcterms:created>
  <dcterms:modified xsi:type="dcterms:W3CDTF">2023-11-17T14:59:28Z</dcterms:modified>
</cp:coreProperties>
</file>