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728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bookmarkStart w:id="0" w:name="_Hlk173921975"/>
      <w:r>
        <w:rPr>
          <w:b w:val="0"/>
          <w:bCs w:val="0"/>
          <w:sz w:val="24"/>
          <w:szCs w:val="24"/>
        </w:rPr>
        <w:t xml:space="preserve">Закупівля послуг із виготовлення та встановлення </w:t>
      </w:r>
      <w:r>
        <w:rPr>
          <w:b w:val="0"/>
          <w:bCs w:val="0"/>
          <w:sz w:val="24"/>
          <w:szCs w:val="24"/>
        </w:rPr>
        <w:t xml:space="preserve">флагштоків</w:t>
      </w:r>
      <w:r>
        <w:rPr>
          <w:b w:val="0"/>
          <w:bCs w:val="0"/>
          <w:sz w:val="24"/>
          <w:szCs w:val="24"/>
        </w:rPr>
        <w:t xml:space="preserve"> в комплекті  за кодом CPV за ЄЗС ДК 021:2015: </w:t>
      </w:r>
      <w:bookmarkEnd w:id="0"/>
      <w:r>
        <w:rPr>
          <w:b w:val="0"/>
          <w:bCs w:val="0"/>
          <w:sz w:val="24"/>
          <w:szCs w:val="24"/>
        </w:rPr>
        <w:t xml:space="preserve">51120000-9 Послуги зі встановлення механічного обладнання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</w:t>
      </w:r>
      <w:r>
        <w:rPr>
          <w:rFonts w:ascii="Times New Roman" w:hAnsi="Times New Roman" w:cs="Times New Roman"/>
          <w:sz w:val="24"/>
          <w:szCs w:val="24"/>
        </w:rPr>
        <w:t xml:space="preserve">4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8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</w:t>
      </w:r>
      <w:r>
        <w:rPr>
          <w:rFonts w:ascii="Times New Roman" w:hAnsi="Times New Roman" w:cs="Times New Roman"/>
          <w:sz w:val="24"/>
          <w:szCs w:val="24"/>
        </w:rPr>
        <w:t xml:space="preserve">9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</w:t>
      </w:r>
      <w:r>
        <w:rPr>
          <w:rFonts w:ascii="Times New Roman" w:hAnsi="Times New Roman" w:cs="Times New Roman"/>
          <w:sz w:val="24"/>
          <w:szCs w:val="24"/>
        </w:rPr>
        <w:t xml:space="preserve">7818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bCs/>
          <w:sz w:val="24"/>
          <w:szCs w:val="24"/>
        </w:rPr>
        <w:t xml:space="preserve">Закупівля послуг із виготовлення та встановлення </w:t>
      </w:r>
      <w:r>
        <w:rPr>
          <w:rFonts w:ascii="Times New Roman" w:hAnsi="Times New Roman" w:cs="Times New Roman"/>
          <w:bCs/>
          <w:sz w:val="24"/>
          <w:szCs w:val="24"/>
        </w:rPr>
        <w:t xml:space="preserve">флагштоків</w:t>
      </w:r>
      <w:r>
        <w:rPr>
          <w:rFonts w:ascii="Times New Roman" w:hAnsi="Times New Roman" w:cs="Times New Roman"/>
          <w:bCs/>
          <w:sz w:val="24"/>
          <w:szCs w:val="24"/>
        </w:rPr>
        <w:t xml:space="preserve"> в комплекті  за кодом CPV за ЄЗС ДК 021:2015: 51120000-9 Послуги зі встановлення механічного обладнання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p>
      <w:pPr>
        <w:ind w:firstLine="357"/>
        <w:jc w:val="center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</w:r>
      <w:r/>
    </w:p>
    <w:tbl>
      <w:tblPr>
        <w:tblStyle w:val="736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W w:w="562" w:type="dxa"/>
            <w:textDirection w:val="lrTb"/>
            <w:noWrap w:val="false"/>
          </w:tcPr>
          <w:p>
            <w:pPr>
              <w:pStyle w:val="738"/>
              <w:jc w:val="center"/>
              <w:rPr>
                <w:b/>
                <w:bCs/>
              </w:rPr>
            </w:pPr>
            <w:r/>
            <w:bookmarkStart w:id="1" w:name="_Hlk173497941"/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W w:w="1701" w:type="dxa"/>
            <w:textDirection w:val="lrTb"/>
            <w:noWrap w:val="false"/>
          </w:tcPr>
          <w:p>
            <w:pPr>
              <w:pStyle w:val="7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W w:w="562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5670" w:type="dxa"/>
            <w:textDirection w:val="lrTb"/>
            <w:noWrap w:val="false"/>
          </w:tcPr>
          <w:p>
            <w:pPr>
              <w:pStyle w:val="738"/>
              <w:jc w:val="both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Ви</w:t>
            </w:r>
            <w:r>
              <w:rPr>
                <w:b/>
                <w:bCs/>
              </w:rPr>
              <w:t xml:space="preserve">готовлення та монтаж </w:t>
            </w:r>
            <w:r>
              <w:rPr>
                <w:b/>
                <w:bCs/>
              </w:rPr>
              <w:t xml:space="preserve">флагштоків</w:t>
            </w:r>
            <w:r>
              <w:rPr>
                <w:b/>
                <w:bCs/>
              </w:rPr>
              <w:t xml:space="preserve"> в комплекті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 xml:space="preserve">посл</w:t>
            </w:r>
            <w:r>
              <w:rPr>
                <w:b/>
                <w:bCs/>
                <w:color w:val="000000"/>
              </w:rPr>
              <w:t xml:space="preserve">.</w:t>
            </w:r>
            <w:r/>
          </w:p>
        </w:tc>
        <w:tc>
          <w:tcPr>
            <w:tcW w:w="1701" w:type="dxa"/>
            <w:vAlign w:val="center"/>
            <w:textDirection w:val="lrTb"/>
            <w:noWrap w:val="false"/>
          </w:tcPr>
          <w:p>
            <w:pPr>
              <w:pStyle w:val="738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bookmarkEnd w:id="1"/>
            <w:r/>
          </w:p>
        </w:tc>
      </w:tr>
    </w:tbl>
    <w:p>
      <w:pPr>
        <w:pStyle w:val="73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</w:r>
      <w:r/>
    </w:p>
    <w:p>
      <w:pPr>
        <w:pStyle w:val="738"/>
        <w:jc w:val="both"/>
        <w:spacing w:after="0" w:line="240" w:lineRule="auto"/>
        <w:rPr>
          <w:b/>
          <w:bCs/>
          <w:i/>
          <w:iCs/>
          <w:lang w:eastAsia="ru-RU"/>
        </w:rPr>
      </w:pPr>
      <w:r>
        <w:rPr>
          <w:b/>
          <w:bCs/>
          <w:i/>
          <w:iCs/>
          <w:lang w:eastAsia="ru-RU"/>
        </w:rPr>
        <w:t xml:space="preserve">У ціну мають бути включені прямі, загальновиробничі та адміністративні витрати з урахуванням витра</w:t>
      </w:r>
      <w:r>
        <w:rPr>
          <w:b/>
          <w:bCs/>
          <w:i/>
          <w:iCs/>
          <w:lang w:eastAsia="ru-RU"/>
        </w:rPr>
        <w:t xml:space="preserve">т, у тому числі,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Учасник планує отримати в результаті продажу, кошти на покриття </w:t>
      </w:r>
      <w:r>
        <w:rPr>
          <w:b/>
          <w:bCs/>
          <w:i/>
          <w:iCs/>
          <w:lang w:eastAsia="ru-RU"/>
        </w:rPr>
        <w:t xml:space="preserve">ризиків та/або додаткових витрат, пов’язаних з інфляційними процесами, усі податки і збори, обов’язкові платежі, що сплачуються або мають бути сплачені Учасником для надання послуг, зокрема податок на додану вартість, інші витрати, необхідні для виконання </w:t>
      </w:r>
      <w:r>
        <w:rPr>
          <w:b/>
          <w:bCs/>
          <w:i/>
          <w:iCs/>
          <w:lang w:eastAsia="ru-RU"/>
        </w:rPr>
        <w:t xml:space="preserve">проєкту</w:t>
      </w:r>
      <w:r>
        <w:rPr>
          <w:b/>
          <w:bCs/>
          <w:i/>
          <w:iCs/>
          <w:lang w:eastAsia="ru-RU"/>
        </w:rPr>
        <w:t xml:space="preserve"> Договору до моменту його повного завершення</w:t>
      </w:r>
      <w:r>
        <w:rPr>
          <w:b/>
          <w:bCs/>
          <w:i/>
          <w:iCs/>
        </w:rPr>
        <w:t xml:space="preserve">; монтаж, встановлення, доставка на об’єкті замовника, первинна перевірка та введення в експлуатацію товару, що виготовляється відповідно до зазначених послуг.</w:t>
      </w:r>
      <w:r/>
    </w:p>
    <w:p>
      <w:pPr>
        <w:pStyle w:val="738"/>
        <w:jc w:val="both"/>
        <w:spacing w:after="0" w:line="240" w:lineRule="auto"/>
        <w:rPr>
          <w:b/>
          <w:bCs/>
          <w:i/>
          <w:iCs/>
        </w:rPr>
      </w:pPr>
      <w:r>
        <w:rPr>
          <w:b/>
          <w:bCs/>
          <w:i/>
          <w:iCs/>
        </w:rPr>
      </w:r>
      <w:r/>
    </w:p>
    <w:p>
      <w:pPr>
        <w:contextualSpacing/>
        <w:jc w:val="center"/>
        <w:spacing w:after="0" w:line="240" w:lineRule="auto"/>
        <w:shd w:val="clear" w:color="auto" w:fill="ffffff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ТЕХНІЧНЕ ЗАВДАННЯ</w:t>
      </w:r>
      <w:r/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62"/>
        <w:gridCol w:w="5711"/>
        <w:gridCol w:w="1843"/>
        <w:gridCol w:w="1411"/>
      </w:tblGrid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</w:pPr>
            <w:r/>
            <w:bookmarkStart w:id="2" w:name="_Hlk173936477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uk-UA"/>
              </w:rPr>
              <w:t xml:space="preserve">№ з/п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Наименованное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Одиниця виміру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 w:val="false"/>
          </w:tcPr>
          <w:p>
            <w:pPr>
              <w:ind w:right="-113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Кіл-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  <w:t xml:space="preserve">ть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Ви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готовлення та монтаж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флагштоків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в комплекті, 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у складі: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посл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300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1.1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Флагшток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 w:val="false"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0" w:type="pct"/>
            <w:vAlign w:val="center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3295650" cy="3495675"/>
                      <wp:effectExtent l="0" t="0" r="0" b="9525"/>
                      <wp:docPr id="1" name="Рисунок 2" descr="Зображення, що містить просто неба, прапор, бензин, стовп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30192547" name="Рисунок 2" descr="Зображення, що містить просто неба, прапор, бензин, стовп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3295650" cy="3495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0" o:spid="_x0000_s0" type="#_x0000_t75" style="width:259.5pt;height:275.2pt;mso-wrap-distance-left:0.0pt;mso-wrap-distance-top:0.0pt;mso-wrap-distance-right:0.0pt;mso-wrap-distance-bottom:0.0pt;" stroked="f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0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Флагшток з зовнішнім роликовим</w:t>
            </w:r>
            <w:r>
              <w:rPr>
                <w:rFonts w:ascii="Times New Roman" w:hAnsi="Times New Roman" w:cs="Times New Roman"/>
                <w:spacing w:val="-5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механізмом для підняття прапору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нержавіючої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сталі (Н=8000) (Труба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нерж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304/76мм,60,3мм, сталь листова</w:t>
            </w:r>
            <w:r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10мм,6мм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), 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навершів’ям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що вкручується, зовнішній вид – поліроване дзеркало</w:t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1.2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Прапор України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0" w:type="pct"/>
            <w:vAlign w:val="center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65014" cy="2286000"/>
                      <wp:effectExtent l="0" t="8572" r="8572" b="8573"/>
                      <wp:docPr id="2" name="Рисунок 6" descr="Зображення, що містить знімок екрана, Прямокутник, текст, ряд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Рисунок 6" descr="Зображення, що містить знімок екрана, Прямокутник, текст, ряд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2"/>
                              <a:stretch/>
                            </pic:blipFill>
                            <pic:spPr bwMode="auto">
                              <a:xfrm rot="5400000">
                                <a:off x="0" y="0"/>
                                <a:ext cx="5988859" cy="229513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miter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width:469.7pt;height:180.0pt;mso-wrap-distance-left:0.0pt;mso-wrap-distance-top:0.0pt;mso-wrap-distance-right:0.0pt;mso-wrap-distance-bottom:0.0pt;rotation:90;" stroked="f">
                      <v:path textboxrect="0,0,0,0"/>
                      <v:imagedata r:id="rId12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Прапор України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 прапора 1200х1800 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(ДСТУ 4512:2006) Державний прапор України. Загальні технічні умови.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виготовлення прапорів використовується прапорна тканина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Multiflag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яка на 100% складається із поліефіру високої щі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льності. Матеріал відрізняється високою міцністю, витримує будь-які кліматичні умови та сильні пориви вітру за рахунок еластичності та високого коефіцієнта пропускання повітря. Тканина забезпечує також якісне перенесення кольорів. Для кріплення прапора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флагштоку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встановлені люверси.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1.3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Прапор ЄС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шт.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28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0" w:type="pct"/>
            <w:vAlign w:val="center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5964555" cy="2285207"/>
                      <wp:effectExtent l="0" t="7937" r="0" b="0"/>
                      <wp:docPr id="3" name="Рисунок 8" descr="Зображення, що містить текст, знімок екрана, символ, Шрифт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Рисунок 8" descr="Зображення, що містить текст, знімок екрана, символ, Шрифт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3"/>
                              <a:stretch/>
                            </pic:blipFill>
                            <pic:spPr bwMode="auto">
                              <a:xfrm rot="5400000">
                                <a:off x="0" y="0"/>
                                <a:ext cx="6003393" cy="2300087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2" o:spid="_x0000_s2" type="#_x0000_t75" style="width:469.6pt;height:179.9pt;mso-wrap-distance-left:0.0pt;mso-wrap-distance-top:0.0pt;mso-wrap-distance-right:0.0pt;mso-wrap-distance-bottom:0.0pt;rotation:90;" stroked="f">
                      <v:path textboxrect="0,0,0,0"/>
                      <v:imagedata r:id="rId13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Прапор Європейського союзу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 прапора 1200х1800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виготовлення прапорів використовується прапорна тканина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Multiflag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яка на 100% складається із поліефіру високої щі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льності. Матеріал відрізняється високою міцністю, витримує будь-які кліматичні умови та сильні пориви вітру за рахунок еластичності та високого коефіцієнта пропускання повітря. Тканина забезпечує також якісне перенесення кольорів. Для кріплення прапора до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флагштоку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встановлені люверси.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r/>
          </w:p>
        </w:tc>
      </w:tr>
      <w:tr>
        <w:trPr>
          <w:trHeight w:val="286"/>
        </w:trPr>
        <w:tc>
          <w:tcPr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4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1.4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2966" w:type="pct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Прапор МВС України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957" w:type="pct"/>
            <w:vAlign w:val="center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шт</w:t>
            </w:r>
            <w:r/>
          </w:p>
        </w:tc>
        <w:tc>
          <w:tcPr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733" w:type="pct"/>
            <w:vAlign w:val="center"/>
            <w:textDirection w:val="lrTb"/>
            <w:noWrap/>
          </w:tcPr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</w:t>
            </w:r>
            <w:r/>
          </w:p>
        </w:tc>
      </w:tr>
      <w:tr>
        <w:trPr>
          <w:trHeight w:val="5806"/>
        </w:trPr>
        <w:tc>
          <w:tcPr>
            <w:gridSpan w:val="2"/>
            <w:shd w:val="clear" w:color="auto" w:fill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10" w:type="pct"/>
            <w:vAlign w:val="center"/>
            <w:textDirection w:val="lrTb"/>
            <w:noWrap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mc:AlternateContent>
                <mc:Choice Requires="wpg">
                  <w:drawing>
                    <wp:inline xmlns:wp="http://schemas.openxmlformats.org/drawingml/2006/wordprocessingDrawing" distT="0" distB="0" distL="0" distR="0">
                      <wp:extent cx="6120765" cy="2216150"/>
                      <wp:effectExtent l="9208" t="0" r="3492" b="3492"/>
                      <wp:docPr id="4" name="Рисунок 10" descr="Зображення, що містить текст, знімок екрана, символ, логотип&#10;&#10;Автоматично згенерований опис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3" name="Рисунок 10" descr="Зображення, що містить текст, знімок екрана, символ, логотип&#10;&#10;Автоматично згенерований опис"/>
                              <pic:cNvPicPr>
                                <a:picLocks noChangeAspect="1"/>
                              </pic:cNvPicPr>
                              <pic:nvPr/>
                            </pic:nvPicPr>
                            <pic:blipFill>
                              <a:blip r:embed="rId14"/>
                              <a:stretch/>
                            </pic:blipFill>
                            <pic:spPr bwMode="auto">
                              <a:xfrm rot="5400000">
                                <a:off x="0" y="0"/>
                                <a:ext cx="6120765" cy="2216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3" o:spid="_x0000_s3" type="#_x0000_t75" style="width:481.9pt;height:174.5pt;mso-wrap-distance-left:0.0pt;mso-wrap-distance-top:0.0pt;mso-wrap-distance-right:0.0pt;mso-wrap-distance-bottom:0.0pt;rotation:90;" stroked="f">
                      <v:path textboxrect="0,0,0,0"/>
                      <v:imagedata r:id="rId14" o:title=""/>
                    </v:shape>
                  </w:pict>
                </mc:Fallback>
              </mc:AlternateContent>
            </w:r>
            <w:r/>
          </w:p>
        </w:tc>
        <w:tc>
          <w:tcPr>
            <w:gridSpan w:val="2"/>
            <w:shd w:val="clear" w:color="auto" w:fill="auto"/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single" w:color="auto" w:sz="4" w:space="0"/>
            </w:tcBorders>
            <w:tcW w:w="1690" w:type="pct"/>
            <w:vAlign w:val="center"/>
            <w:textDirection w:val="lrTb"/>
            <w:noWrap/>
          </w:tcPr>
          <w:p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 xml:space="preserve">Прапор Міністерства внутрішніх справ України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Розмір прапора 1200х1800</w:t>
            </w:r>
            <w:r/>
          </w:p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Для виготовлення прапорів використовується прапорна тканина 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Multiflag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, яка на 100% складається із поліефіру високої щільності. Матеріал</w:t>
            </w: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відрізняється високою міцністю, витримує будь-які кліматичні умови та сильні пориви вітру за рахунок еластичності та високого коефіцієнта пропускання повітря. Тканина забезпечує також якісне перенесення кольорів. Для кріплення прапора встановлені люверси.</w:t>
            </w:r>
            <w:r/>
          </w:p>
          <w:p>
            <w:pPr>
              <w:jc w:val="center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r>
            <w:bookmarkEnd w:id="2"/>
            <w:r/>
          </w:p>
        </w:tc>
      </w:tr>
    </w:tbl>
    <w:p>
      <w:pPr>
        <w:ind w:right="-142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Матеріали, що використовуються для вико</w:t>
      </w:r>
      <w:r>
        <w:rPr>
          <w:rFonts w:ascii="Times New Roman" w:hAnsi="Times New Roman" w:cs="Times New Roman"/>
          <w:sz w:val="24"/>
          <w:szCs w:val="24"/>
        </w:rPr>
        <w:t xml:space="preserve">нання послуг повинні мати наступні параметри: не токсичні, не відносяться до горючих матеріалів; термін служби не менше 10 років; мати високі зносостійкі властивості; відповідність вимогам безпеки; якість матеріальних ресурсів, що використовуються при вико</w:t>
      </w:r>
      <w:r>
        <w:rPr>
          <w:rFonts w:ascii="Times New Roman" w:hAnsi="Times New Roman" w:cs="Times New Roman"/>
          <w:sz w:val="24"/>
          <w:szCs w:val="24"/>
        </w:rPr>
        <w:t xml:space="preserve">нанні послуг, повинна відповідати стандартам, технічним умовам, іншій технічній документації, яка встановлює вимоги до їх якості відповідно до законодавства України; усі матеріали та устаткування мають бути новими (тобто такими, що не були у використанні).</w:t>
      </w:r>
      <w:r/>
    </w:p>
    <w:p>
      <w:pPr>
        <w:ind w:right="-142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Учасн</w:t>
      </w:r>
      <w:r>
        <w:rPr>
          <w:rFonts w:ascii="Times New Roman" w:hAnsi="Times New Roman" w:cs="Times New Roman"/>
          <w:sz w:val="24"/>
          <w:szCs w:val="24"/>
        </w:rPr>
        <w:t xml:space="preserve">ику за домовленістю із Замовником необхідно відвідати та оглянути об’єкт Замовника де необхідно встановити предмет закупівлі та провести відповідні заміри (надані Замовником є орієнтовні, об’єкт будується) та розрахунки для точного прорахунку тендерної про</w:t>
      </w:r>
      <w:r>
        <w:rPr>
          <w:rFonts w:ascii="Times New Roman" w:hAnsi="Times New Roman" w:cs="Times New Roman"/>
          <w:sz w:val="24"/>
          <w:szCs w:val="24"/>
        </w:rPr>
        <w:t xml:space="preserve">позиції та всіх матеріалів, обладнання та устаткування, що буде необхідне потенційному переможцю процедури закупівлі для виконання умов договору. Об’єкт де планується встановлення Товару знаходиться у м. Дніпро. Вся необхідна інформація буде надана потенці</w:t>
      </w:r>
      <w:r>
        <w:rPr>
          <w:rFonts w:ascii="Times New Roman" w:hAnsi="Times New Roman" w:cs="Times New Roman"/>
          <w:sz w:val="24"/>
          <w:szCs w:val="24"/>
        </w:rPr>
        <w:t xml:space="preserve">йним Учасникам за зверненням та при обстеженню об’єкта. Учаснику у складі тендерної пропозиції необхідно надати довідку/акт, будь який інший документ, що підтверджує проведення замірів та розрахунків Учасником на об’єкті Замовника із підписами обох сторін.</w:t>
      </w:r>
      <w:r/>
    </w:p>
    <w:p>
      <w:pPr>
        <w:ind w:right="-142" w:firstLine="708"/>
        <w:jc w:val="both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Виконання послуг передбачено у м. Дніпро.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розмір бюджетного призначення визначено Законом України «Про Державний бюджет України на 2024 рік» за КПКВК 1001050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«Забезпечення діяльності органів, установ та закладів Міністерства внутрішніх справ України, підготовка кадрів закладами вищої освіти із спеціальними умовами навчання» відповідно до бюджетного запиту на 2024 рік.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157 500,00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 п’ятдесят сім тисяч п’ятсот гривень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309020205020404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-3455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-2735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-2015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-1295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-575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145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865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1585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2305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9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1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85" w:hanging="375"/>
        <w:tabs>
          <w:tab w:val="num" w:pos="0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287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2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651" w:hanging="375"/>
        <w:tabs>
          <w:tab w:val="num" w:pos="566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0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0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0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0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0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0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0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0" w:leader="none"/>
        </w:tabs>
      </w:pPr>
      <w:rPr>
        <w:rFonts w:cs="Times New Roman"/>
      </w:rPr>
    </w:lvl>
  </w:abstractNum>
  <w:abstractNum w:abstractNumId="2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92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64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6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8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80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52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24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6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87" w:hanging="180"/>
      </w:pPr>
    </w:lvl>
  </w:abstractNum>
  <w:abstractNum w:abstractNumId="2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7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9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927" w:hanging="360"/>
      </w:pPr>
      <w:rPr>
        <w:rFonts w:hint="default" w:ascii="Calibri" w:hAnsi="Calibri" w:cs="Times New Roman" w:eastAsiaTheme="minorHAnsi"/>
      </w:rPr>
    </w:lvl>
    <w:lvl w:ilvl="1">
      <w:start w:val="1"/>
      <w:numFmt w:val="bullet"/>
      <w:isLgl w:val="false"/>
      <w:suff w:val="tab"/>
      <w:lvlText w:val="o"/>
      <w:lvlJc w:val="left"/>
      <w:pPr>
        <w:ind w:left="164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6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8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80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52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24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6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87" w:hanging="360"/>
      </w:pPr>
      <w:rPr>
        <w:rFonts w:hint="default" w:ascii="Wingdings" w:hAnsi="Wingdings"/>
      </w:r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3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4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8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hint="default" w:ascii="Symbol" w:hAnsi="Symbol"/>
        <w:sz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hint="default" w:ascii="Courier New" w:hAnsi="Courier New"/>
        <w:sz w:val="20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hint="default" w:ascii="Wingdings" w:hAnsi="Wingdings"/>
        <w:sz w:val="20"/>
      </w:rPr>
    </w:lvl>
    <w:lvl w:ilvl="3">
      <w:start w:val="1"/>
      <w:numFmt w:val="bullet"/>
      <w:isLgl w:val="false"/>
      <w:suff w:val="tab"/>
      <w:lvlText w:val=""/>
      <w:lvlJc w:val="left"/>
      <w:pPr>
        <w:ind w:left="2880" w:hanging="360"/>
        <w:tabs>
          <w:tab w:val="num" w:pos="2880" w:leader="none"/>
        </w:tabs>
      </w:pPr>
      <w:rPr>
        <w:rFonts w:hint="default" w:ascii="Wingdings" w:hAnsi="Wingdings"/>
        <w:sz w:val="20"/>
      </w:rPr>
    </w:lvl>
    <w:lvl w:ilvl="4">
      <w:start w:val="1"/>
      <w:numFmt w:val="bullet"/>
      <w:isLgl w:val="false"/>
      <w:suff w:val="tab"/>
      <w:lvlText w:val=""/>
      <w:lvlJc w:val="left"/>
      <w:pPr>
        <w:ind w:left="3600" w:hanging="360"/>
        <w:tabs>
          <w:tab w:val="num" w:pos="3600" w:leader="none"/>
        </w:tabs>
      </w:pPr>
      <w:rPr>
        <w:rFonts w:hint="default" w:ascii="Wingdings" w:hAnsi="Wingdings"/>
        <w:sz w:val="20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hint="default" w:ascii="Wingdings" w:hAnsi="Wingdings"/>
        <w:sz w:val="20"/>
      </w:rPr>
    </w:lvl>
    <w:lvl w:ilvl="6">
      <w:start w:val="1"/>
      <w:numFmt w:val="bullet"/>
      <w:isLgl w:val="false"/>
      <w:suff w:val="tab"/>
      <w:lvlText w:val=""/>
      <w:lvlJc w:val="left"/>
      <w:pPr>
        <w:ind w:left="5040" w:hanging="360"/>
        <w:tabs>
          <w:tab w:val="num" w:pos="5040" w:leader="none"/>
        </w:tabs>
      </w:pPr>
      <w:rPr>
        <w:rFonts w:hint="default" w:ascii="Wingdings" w:hAnsi="Wingdings"/>
        <w:sz w:val="20"/>
      </w:rPr>
    </w:lvl>
    <w:lvl w:ilvl="7">
      <w:start w:val="1"/>
      <w:numFmt w:val="bullet"/>
      <w:isLgl w:val="false"/>
      <w:suff w:val="tab"/>
      <w:lvlText w:val=""/>
      <w:lvlJc w:val="left"/>
      <w:pPr>
        <w:ind w:left="5760" w:hanging="360"/>
        <w:tabs>
          <w:tab w:val="num" w:pos="5760" w:leader="none"/>
        </w:tabs>
      </w:pPr>
      <w:rPr>
        <w:rFonts w:hint="default" w:ascii="Wingdings" w:hAnsi="Wingdings"/>
        <w:sz w:val="20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hint="default" w:ascii="Wingdings" w:hAnsi="Wingdings"/>
        <w:sz w:val="20"/>
      </w:rPr>
    </w:lvl>
  </w:abstractNum>
  <w:abstractNum w:abstractNumId="39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5321" w:hanging="360"/>
      </w:pPr>
      <w:rPr>
        <w:rFonts w:hint="default" w:ascii="Times New Roman" w:hAnsi="Times New Roman" w:cs="Times New Roman"/>
        <w:b/>
      </w:rPr>
    </w:lvl>
    <w:lvl w:ilvl="1">
      <w:start w:val="1"/>
      <w:numFmt w:val="bullet"/>
      <w:isLgl w:val="false"/>
      <w:suff w:val="tab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447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607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33"/>
  </w:num>
  <w:num w:numId="2">
    <w:abstractNumId w:val="19"/>
  </w:num>
  <w:num w:numId="3">
    <w:abstractNumId w:val="9"/>
  </w:num>
  <w:num w:numId="4">
    <w:abstractNumId w:val="27"/>
  </w:num>
  <w:num w:numId="5">
    <w:abstractNumId w:val="8"/>
  </w:num>
  <w:num w:numId="6">
    <w:abstractNumId w:val="34"/>
  </w:num>
  <w:num w:numId="7">
    <w:abstractNumId w:val="12"/>
  </w:num>
  <w:num w:numId="8">
    <w:abstractNumId w:val="36"/>
  </w:num>
  <w:num w:numId="9">
    <w:abstractNumId w:val="3"/>
  </w:num>
  <w:num w:numId="1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0"/>
  </w:num>
  <w:num w:numId="13">
    <w:abstractNumId w:val="5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5"/>
  </w:num>
  <w:num w:numId="17">
    <w:abstractNumId w:val="2"/>
  </w:num>
  <w:num w:numId="18">
    <w:abstractNumId w:val="40"/>
  </w:num>
  <w:num w:numId="19">
    <w:abstractNumId w:val="28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29"/>
  </w:num>
  <w:num w:numId="25">
    <w:abstractNumId w:val="21"/>
  </w:num>
  <w:num w:numId="26">
    <w:abstractNumId w:val="24"/>
  </w:num>
  <w:num w:numId="27">
    <w:abstractNumId w:val="31"/>
  </w:num>
  <w:num w:numId="28">
    <w:abstractNumId w:val="22"/>
  </w:num>
  <w:num w:numId="29">
    <w:abstractNumId w:val="32"/>
  </w:num>
  <w:num w:numId="30">
    <w:abstractNumId w:val="18"/>
  </w:num>
  <w:num w:numId="31">
    <w:abstractNumId w:val="4"/>
  </w:num>
  <w:num w:numId="32">
    <w:abstractNumId w:val="20"/>
  </w:num>
  <w:num w:numId="33">
    <w:abstractNumId w:val="17"/>
  </w:num>
  <w:num w:numId="34">
    <w:abstractNumId w:val="15"/>
  </w:num>
  <w:num w:numId="35">
    <w:abstractNumId w:val="38"/>
  </w:num>
  <w:num w:numId="36">
    <w:abstractNumId w:val="6"/>
  </w:num>
  <w:num w:numId="3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0"/>
  </w:num>
  <w:num w:numId="39">
    <w:abstractNumId w:val="39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0"/>
  </w:num>
  <w:num w:numId="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727"/>
    <w:next w:val="727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731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731"/>
    <w:link w:val="728"/>
    <w:uiPriority w:val="9"/>
    <w:rPr>
      <w:rFonts w:ascii="Arial" w:hAnsi="Arial" w:eastAsia="Arial" w:cs="Arial"/>
      <w:sz w:val="34"/>
    </w:rPr>
  </w:style>
  <w:style w:type="character" w:styleId="17">
    <w:name w:val="Heading 3 Char"/>
    <w:basedOn w:val="731"/>
    <w:link w:val="729"/>
    <w:uiPriority w:val="9"/>
    <w:rPr>
      <w:rFonts w:ascii="Arial" w:hAnsi="Arial" w:eastAsia="Arial" w:cs="Arial"/>
      <w:sz w:val="30"/>
      <w:szCs w:val="30"/>
    </w:rPr>
  </w:style>
  <w:style w:type="character" w:styleId="19">
    <w:name w:val="Heading 4 Char"/>
    <w:basedOn w:val="731"/>
    <w:link w:val="730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727"/>
    <w:next w:val="727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731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727"/>
    <w:next w:val="727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731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727"/>
    <w:next w:val="727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731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727"/>
    <w:next w:val="727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731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727"/>
    <w:next w:val="727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731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727"/>
    <w:next w:val="727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731"/>
    <w:link w:val="33"/>
    <w:uiPriority w:val="10"/>
    <w:rPr>
      <w:sz w:val="48"/>
      <w:szCs w:val="48"/>
    </w:rPr>
  </w:style>
  <w:style w:type="paragraph" w:styleId="35">
    <w:name w:val="Subtitle"/>
    <w:basedOn w:val="727"/>
    <w:next w:val="727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731"/>
    <w:link w:val="35"/>
    <w:uiPriority w:val="11"/>
    <w:rPr>
      <w:sz w:val="24"/>
      <w:szCs w:val="24"/>
    </w:rPr>
  </w:style>
  <w:style w:type="paragraph" w:styleId="37">
    <w:name w:val="Quote"/>
    <w:basedOn w:val="727"/>
    <w:next w:val="727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727"/>
    <w:next w:val="727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727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731"/>
    <w:link w:val="41"/>
    <w:uiPriority w:val="99"/>
  </w:style>
  <w:style w:type="character" w:styleId="44">
    <w:name w:val="Footer Char"/>
    <w:basedOn w:val="731"/>
    <w:link w:val="740"/>
    <w:uiPriority w:val="99"/>
  </w:style>
  <w:style w:type="paragraph" w:styleId="45">
    <w:name w:val="Caption"/>
    <w:basedOn w:val="727"/>
    <w:next w:val="72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740"/>
    <w:uiPriority w:val="99"/>
  </w:style>
  <w:style w:type="table" w:styleId="48">
    <w:name w:val="Table Grid Light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7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7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7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7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727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731"/>
    <w:uiPriority w:val="99"/>
    <w:unhideWhenUsed/>
    <w:rPr>
      <w:vertAlign w:val="superscript"/>
    </w:rPr>
  </w:style>
  <w:style w:type="paragraph" w:styleId="177">
    <w:name w:val="endnote text"/>
    <w:basedOn w:val="727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731"/>
    <w:uiPriority w:val="99"/>
    <w:semiHidden/>
    <w:unhideWhenUsed/>
    <w:rPr>
      <w:vertAlign w:val="superscript"/>
    </w:rPr>
  </w:style>
  <w:style w:type="paragraph" w:styleId="180">
    <w:name w:val="toc 1"/>
    <w:basedOn w:val="727"/>
    <w:next w:val="727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727"/>
    <w:next w:val="727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727"/>
    <w:next w:val="727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727"/>
    <w:next w:val="727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727"/>
    <w:next w:val="727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727"/>
    <w:next w:val="727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727"/>
    <w:next w:val="727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727"/>
    <w:next w:val="727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727"/>
    <w:next w:val="727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727"/>
    <w:next w:val="727"/>
    <w:uiPriority w:val="99"/>
    <w:unhideWhenUsed/>
    <w:pPr>
      <w:spacing w:after="0" w:afterAutospacing="0"/>
    </w:pPr>
  </w:style>
  <w:style w:type="paragraph" w:styleId="727" w:default="1">
    <w:name w:val="Normal"/>
    <w:qFormat/>
    <w:rPr>
      <w:lang w:val="uk-UA"/>
    </w:rPr>
  </w:style>
  <w:style w:type="paragraph" w:styleId="728">
    <w:name w:val="Heading 2"/>
    <w:basedOn w:val="727"/>
    <w:link w:val="749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paragraph" w:styleId="729">
    <w:name w:val="Heading 3"/>
    <w:basedOn w:val="727"/>
    <w:next w:val="727"/>
    <w:link w:val="766"/>
    <w:uiPriority w:val="9"/>
    <w:semiHidden/>
    <w:unhideWhenUsed/>
    <w:qFormat/>
    <w:pPr>
      <w:keepLines/>
      <w:keepNext/>
      <w:spacing w:before="40" w:after="0"/>
      <w:outlineLvl w:val="2"/>
    </w:pPr>
    <w:rPr>
      <w:rFonts w:asciiTheme="majorHAnsi" w:hAnsiTheme="majorHAnsi" w:eastAsiaTheme="majorEastAsia" w:cstheme="majorBidi"/>
      <w:color w:val="1f4d78" w:themeColor="accent1" w:themeShade="7F"/>
      <w:sz w:val="24"/>
      <w:szCs w:val="24"/>
    </w:rPr>
  </w:style>
  <w:style w:type="paragraph" w:styleId="730">
    <w:name w:val="Heading 4"/>
    <w:basedOn w:val="727"/>
    <w:next w:val="727"/>
    <w:link w:val="767"/>
    <w:uiPriority w:val="9"/>
    <w:semiHidden/>
    <w:unhideWhenUsed/>
    <w:qFormat/>
    <w:pPr>
      <w:keepLines/>
      <w:keepNext/>
      <w:spacing w:before="40" w:after="0"/>
      <w:outlineLvl w:val="3"/>
    </w:pPr>
    <w:rPr>
      <w:rFonts w:asciiTheme="majorHAnsi" w:hAnsiTheme="majorHAnsi" w:eastAsiaTheme="majorEastAsia" w:cstheme="majorBidi"/>
      <w:i/>
      <w:iCs/>
      <w:color w:val="2e74b5" w:themeColor="accent1" w:themeShade="BF"/>
    </w:rPr>
  </w:style>
  <w:style w:type="character" w:styleId="731" w:default="1">
    <w:name w:val="Default Paragraph Font"/>
    <w:uiPriority w:val="1"/>
    <w:semiHidden/>
    <w:unhideWhenUsed/>
  </w:style>
  <w:style w:type="table" w:styleId="7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3" w:default="1">
    <w:name w:val="No List"/>
    <w:uiPriority w:val="99"/>
    <w:semiHidden/>
    <w:unhideWhenUsed/>
  </w:style>
  <w:style w:type="paragraph" w:styleId="734">
    <w:name w:val="List Paragraph"/>
    <w:basedOn w:val="727"/>
    <w:link w:val="735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735" w:customStyle="1">
    <w:name w:val="Абзац списку Знак"/>
    <w:link w:val="734"/>
    <w:uiPriority w:val="34"/>
    <w:qFormat/>
    <w:rPr>
      <w:rFonts w:ascii="Calibri" w:hAnsi="Calibri" w:eastAsia="Calibri" w:cs="Calibri"/>
      <w:lang w:eastAsia="zh-CN"/>
    </w:rPr>
  </w:style>
  <w:style w:type="table" w:styleId="736">
    <w:name w:val="Table Grid"/>
    <w:basedOn w:val="732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737" w:customStyle="1">
    <w:name w:val="Сетка таблицы2"/>
    <w:basedOn w:val="732"/>
    <w:next w:val="736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38">
    <w:name w:val="Normal (Web)"/>
    <w:basedOn w:val="727"/>
    <w:link w:val="745"/>
    <w:unhideWhenUsed/>
    <w:qFormat/>
    <w:rPr>
      <w:rFonts w:ascii="Times New Roman" w:hAnsi="Times New Roman" w:cs="Times New Roman"/>
      <w:sz w:val="24"/>
      <w:szCs w:val="24"/>
    </w:rPr>
  </w:style>
  <w:style w:type="table" w:styleId="739" w:customStyle="1">
    <w:name w:val="Сетка таблицы1"/>
    <w:basedOn w:val="732"/>
    <w:next w:val="736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740">
    <w:name w:val="Footer"/>
    <w:basedOn w:val="727"/>
    <w:link w:val="741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741" w:customStyle="1">
    <w:name w:val="Нижній колонтитул Знак"/>
    <w:basedOn w:val="731"/>
    <w:link w:val="740"/>
    <w:uiPriority w:val="99"/>
    <w:rPr>
      <w:rFonts w:ascii="Calibri" w:hAnsi="Calibri" w:eastAsia="Calibri" w:cs="Calibri"/>
      <w:lang w:eastAsia="zh-CN"/>
    </w:rPr>
  </w:style>
  <w:style w:type="paragraph" w:styleId="742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743">
    <w:name w:val="Hyperlink"/>
    <w:basedOn w:val="731"/>
    <w:uiPriority w:val="99"/>
    <w:unhideWhenUsed/>
    <w:rPr>
      <w:color w:val="0563c1" w:themeColor="hyperlink"/>
      <w:u w:val="single"/>
    </w:rPr>
  </w:style>
  <w:style w:type="character" w:styleId="744" w:customStyle="1">
    <w:name w:val="xfm_93972720"/>
    <w:basedOn w:val="731"/>
  </w:style>
  <w:style w:type="character" w:styleId="745" w:customStyle="1">
    <w:name w:val="Звичайний (веб) Знак"/>
    <w:link w:val="738"/>
    <w:qFormat/>
    <w:rPr>
      <w:rFonts w:ascii="Times New Roman" w:hAnsi="Times New Roman" w:cs="Times New Roman"/>
      <w:sz w:val="24"/>
      <w:szCs w:val="24"/>
      <w:lang w:val="uk-UA"/>
    </w:rPr>
  </w:style>
  <w:style w:type="paragraph" w:styleId="746">
    <w:name w:val="Body Text 2"/>
    <w:basedOn w:val="727"/>
    <w:link w:val="747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47" w:customStyle="1">
    <w:name w:val="Основний текст 2 Знак"/>
    <w:basedOn w:val="731"/>
    <w:link w:val="746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48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49" w:customStyle="1">
    <w:name w:val="Заголовок 2 Знак"/>
    <w:basedOn w:val="731"/>
    <w:link w:val="728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50">
    <w:name w:val="No Spacing"/>
    <w:link w:val="751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51" w:customStyle="1">
    <w:name w:val="Без інтервалів Знак"/>
    <w:basedOn w:val="731"/>
    <w:link w:val="750"/>
    <w:uiPriority w:val="1"/>
    <w:rPr>
      <w:rFonts w:ascii="Calibri" w:hAnsi="Calibri" w:eastAsia="Calibri" w:cs="Times New Roman"/>
      <w:lang w:val="uk-UA"/>
    </w:rPr>
  </w:style>
  <w:style w:type="character" w:styleId="752" w:customStyle="1">
    <w:name w:val="Другое_"/>
    <w:basedOn w:val="731"/>
    <w:link w:val="753"/>
    <w:rPr>
      <w:rFonts w:ascii="Calibri" w:hAnsi="Calibri" w:eastAsia="Calibri" w:cs="Calibri"/>
      <w:sz w:val="20"/>
      <w:szCs w:val="20"/>
    </w:rPr>
  </w:style>
  <w:style w:type="paragraph" w:styleId="753" w:customStyle="1">
    <w:name w:val="Другое"/>
    <w:basedOn w:val="727"/>
    <w:link w:val="752"/>
    <w:qFormat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54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55" w:customStyle="1">
    <w:name w:val="Основной текст (2)_"/>
    <w:basedOn w:val="731"/>
    <w:link w:val="756"/>
    <w:rPr>
      <w:rFonts w:eastAsia="Times New Roman" w:cs="Times New Roman"/>
      <w:shd w:val="clear" w:color="auto" w:fill="ffffff"/>
    </w:rPr>
  </w:style>
  <w:style w:type="paragraph" w:styleId="756" w:customStyle="1">
    <w:name w:val="Основной текст (2)"/>
    <w:basedOn w:val="727"/>
    <w:link w:val="755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57" w:customStyle="1">
    <w:name w:val="Текст у виносці Знак"/>
    <w:basedOn w:val="731"/>
    <w:link w:val="758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58">
    <w:name w:val="Balloon Text"/>
    <w:basedOn w:val="727"/>
    <w:link w:val="757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59" w:customStyle="1">
    <w:name w:val="Текст у виносці Знак1"/>
    <w:basedOn w:val="731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60" w:customStyle="1">
    <w:name w:val="T23"/>
    <w:rPr>
      <w:rFonts w:hint="default" w:ascii="Times New Roman" w:hAnsi="Times New Roman" w:eastAsia="Times New Roman1" w:cs="Times New Roman"/>
    </w:rPr>
  </w:style>
  <w:style w:type="paragraph" w:styleId="761" w:customStyle="1">
    <w:name w:val="Абзац списку1"/>
    <w:basedOn w:val="727"/>
    <w:uiPriority w:val="99"/>
    <w:qFormat/>
    <w:pPr>
      <w:ind w:left="720"/>
      <w:jc w:val="both"/>
      <w:spacing w:after="0" w:line="276" w:lineRule="auto"/>
    </w:pPr>
    <w:rPr>
      <w:rFonts w:ascii="Times New Roman" w:hAnsi="Times New Roman" w:eastAsia="Calibri" w:cs="Times New Roman"/>
      <w:sz w:val="24"/>
      <w:szCs w:val="24"/>
      <w:lang w:eastAsia="zh-CN" w:bidi="hi-IN"/>
    </w:rPr>
  </w:style>
  <w:style w:type="character" w:styleId="762" w:customStyle="1">
    <w:name w:val="markedcontent"/>
    <w:basedOn w:val="731"/>
  </w:style>
  <w:style w:type="paragraph" w:styleId="763">
    <w:name w:val="annotation text"/>
    <w:basedOn w:val="727"/>
    <w:link w:val="764"/>
    <w:uiPriority w:val="99"/>
    <w:unhideWhenUsed/>
    <w:pPr>
      <w:spacing w:after="0" w:line="240" w:lineRule="auto"/>
      <w:widowControl w:val="off"/>
    </w:pPr>
    <w:rPr>
      <w:rFonts w:ascii="Times New Roman" w:hAnsi="Times New Roman" w:eastAsia="Times New Roman" w:cs="Times New Roman"/>
      <w:sz w:val="20"/>
      <w:szCs w:val="20"/>
      <w:lang w:val="ru-RU" w:eastAsia="ru-RU"/>
    </w:rPr>
  </w:style>
  <w:style w:type="character" w:styleId="764" w:customStyle="1">
    <w:name w:val="Текст примітки Знак"/>
    <w:basedOn w:val="731"/>
    <w:link w:val="763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65" w:customStyle="1">
    <w:name w:val="docdata"/>
    <w:basedOn w:val="731"/>
  </w:style>
  <w:style w:type="character" w:styleId="766" w:customStyle="1">
    <w:name w:val="Заголовок 3 Знак"/>
    <w:basedOn w:val="731"/>
    <w:link w:val="729"/>
    <w:uiPriority w:val="9"/>
    <w:semiHidden/>
    <w:rPr>
      <w:rFonts w:asciiTheme="majorHAnsi" w:hAnsiTheme="majorHAnsi" w:eastAsiaTheme="majorEastAsia" w:cstheme="majorBidi"/>
      <w:color w:val="1f4d78" w:themeColor="accent1" w:themeShade="7F"/>
      <w:sz w:val="24"/>
      <w:szCs w:val="24"/>
      <w:lang w:val="uk-UA"/>
    </w:rPr>
  </w:style>
  <w:style w:type="character" w:styleId="767" w:customStyle="1">
    <w:name w:val="Заголовок 4 Знак"/>
    <w:basedOn w:val="731"/>
    <w:link w:val="730"/>
    <w:uiPriority w:val="9"/>
    <w:semiHidden/>
    <w:rPr>
      <w:rFonts w:asciiTheme="majorHAnsi" w:hAnsiTheme="majorHAnsi" w:eastAsiaTheme="majorEastAsia" w:cstheme="majorBidi"/>
      <w:i/>
      <w:iCs/>
      <w:color w:val="2e74b5" w:themeColor="accent1" w:themeShade="BF"/>
      <w:lang w:val="uk-UA"/>
    </w:rPr>
  </w:style>
  <w:style w:type="paragraph" w:styleId="768" w:customStyle="1">
    <w:name w:val="name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769" w:customStyle="1">
    <w:name w:val="cont-spec"/>
    <w:basedOn w:val="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70">
    <w:name w:val="Strong"/>
    <w:basedOn w:val="731"/>
    <w:uiPriority w:val="22"/>
    <w:qFormat/>
    <w:rPr>
      <w:b/>
      <w:bCs/>
    </w:rPr>
  </w:style>
  <w:style w:type="paragraph" w:styleId="771" w:customStyle="1">
    <w:name w:val="rvps6"/>
    <w:basedOn w:val="727"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table" w:styleId="772" w:customStyle="1">
    <w:name w:val="Сітка таблиці1"/>
    <w:pPr>
      <w:spacing w:after="0" w:line="240" w:lineRule="auto"/>
    </w:pPr>
    <w:rPr>
      <w:rFonts w:eastAsiaTheme="minorEastAsia"/>
      <w:lang w:val="uk-UA"/>
    </w:rPr>
    <w:tblPr>
      <w:tblCellMar>
        <w:left w:w="0" w:type="dxa"/>
        <w:top w:w="0" w:type="dxa"/>
        <w:right w:w="0" w:type="dxa"/>
        <w:bottom w:w="0" w:type="dxa"/>
      </w:tblCellMar>
    </w:tblPr>
  </w:style>
  <w:style w:type="table" w:styleId="773" w:customStyle="1">
    <w:name w:val="Сітка таблиці3"/>
    <w:basedOn w:val="732"/>
    <w:next w:val="73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image" Target="media/image1.png"/><Relationship Id="rId12" Type="http://schemas.openxmlformats.org/officeDocument/2006/relationships/image" Target="media/image2.jpg"/><Relationship Id="rId13" Type="http://schemas.openxmlformats.org/officeDocument/2006/relationships/image" Target="media/image3.jpg"/><Relationship Id="rId14" Type="http://schemas.openxmlformats.org/officeDocument/2006/relationships/image" Target="media/image4.jp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169</cp:revision>
  <dcterms:created xsi:type="dcterms:W3CDTF">2022-11-01T12:47:00Z</dcterms:created>
  <dcterms:modified xsi:type="dcterms:W3CDTF">2024-08-10T08:42:59Z</dcterms:modified>
</cp:coreProperties>
</file>