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</w:t>
      </w: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12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системи очищення води (зі встановленням) за кодом CPV за ЄЗС ДК 021:2015: 39370000-6 Водопровідне обладнання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</w:t>
      </w:r>
      <w:r>
        <w:rPr>
          <w:rFonts w:ascii="Times New Roman" w:hAnsi="Times New Roman" w:cs="Times New Roman"/>
          <w:sz w:val="24"/>
          <w:szCs w:val="24"/>
        </w:rPr>
        <w:t xml:space="preserve">3294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bookmarkStart w:id="0" w:name="_Hlk133583335"/>
      <w:r>
        <w:rPr>
          <w:rFonts w:ascii="Times New Roman" w:hAnsi="Times New Roman" w:cs="Times New Roman"/>
          <w:sz w:val="24"/>
          <w:szCs w:val="24"/>
        </w:rPr>
        <w:t xml:space="preserve">Закупівля системи очищення води (зі встановленням) за кодом CPV за ЄЗС ДК 021:2015: 39370000-6 Водопровідне обладнання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bookmarkEnd w:id="0"/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718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Система очищення води (зі встановленням)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b/>
              </w:rPr>
              <w:t xml:space="preserve">1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b/>
              </w:rPr>
              <w:t xml:space="preserve">шт</w:t>
            </w:r>
            <w:r/>
          </w:p>
        </w:tc>
      </w:tr>
    </w:tbl>
    <w:p>
      <w:pPr>
        <w:pStyle w:val="720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pStyle w:val="720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b/>
          <w:bCs/>
          <w:i/>
          <w:iCs/>
          <w:lang w:eastAsia="ru-RU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b/>
          <w:bCs/>
          <w:i/>
          <w:iCs/>
          <w:lang w:eastAsia="ru-RU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b/>
          <w:bCs/>
          <w:i/>
          <w:iCs/>
          <w:lang w:eastAsia="ru-RU"/>
        </w:rPr>
        <w:t xml:space="preserve">проєкту</w:t>
      </w:r>
      <w:r>
        <w:rPr>
          <w:b/>
          <w:bCs/>
          <w:i/>
          <w:iCs/>
          <w:lang w:eastAsia="ru-RU"/>
        </w:rPr>
        <w:t xml:space="preserve"> Договору до моменту його повного завершення; </w:t>
      </w:r>
      <w:r>
        <w:rPr>
          <w:b/>
          <w:bCs/>
          <w:i/>
          <w:iCs/>
        </w:rPr>
        <w:t xml:space="preserve">монтаж, </w:t>
      </w:r>
      <w:r>
        <w:rPr>
          <w:b/>
          <w:bCs/>
          <w:i/>
          <w:iCs/>
        </w:rPr>
        <w:t xml:space="preserve">пусконалагоджування</w:t>
      </w:r>
      <w:r>
        <w:rPr>
          <w:b/>
          <w:bCs/>
          <w:i/>
          <w:iCs/>
        </w:rPr>
        <w:t xml:space="preserve"> та введення в експлуатацію Товару.</w:t>
      </w:r>
      <w:r/>
    </w:p>
    <w:p>
      <w:pPr>
        <w:pStyle w:val="720"/>
        <w:ind w:firstLine="567"/>
        <w:jc w:val="both"/>
        <w:spacing w:after="0" w:line="240" w:lineRule="auto"/>
        <w:rPr>
          <w:color w:val="000000" w:themeColor="text1"/>
          <w:shd w:val="clear" w:color="auto" w:fill="ffffff"/>
        </w:rPr>
      </w:pPr>
      <w:r/>
      <w:bookmarkStart w:id="1" w:name="_Hlk131598067"/>
      <w:r>
        <w:rPr>
          <w:color w:val="000000" w:themeColor="text1"/>
          <w:shd w:val="clear" w:color="auto" w:fill="ffffff"/>
        </w:rPr>
        <w:t xml:space="preserve">1. Товар повинен постачатись новим в упаковці та з маркуванням виробника, а також повинна бути в наявності технічна документація, яка входить до комплекту постачання фірми-виробника.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У разі постачання неякісного Товару, Постачальник забезпечує заміну неякісного Товару якісним за власний рахунок при пред’явлені Покупцем не пізніше 7 робочих днів після отримання Товару.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Наявність заявлених Покупцем недоліків та причини їх виникнення повинно встановлюватись актом обстеження технічного стану Товару, який обов’язково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укладається між Сторонами і є підставою для усунення Постачальником недоліків Товару у термін, що узгоджується за домовленістю Сторін. Акт обстеження технічного стану складається сервісним (технічним) центром Постачальника за участю представника Покупця.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Виконання постачання повинно здійснюватися у відповідно до діючих нормативно-правових документів та умов цього </w:t>
      </w:r>
      <w:r>
        <w:rPr>
          <w:rFonts w:ascii="Times New Roman" w:hAnsi="Times New Roman" w:cs="Times New Roman"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sz w:val="24"/>
          <w:szCs w:val="24"/>
        </w:rPr>
        <w:t xml:space="preserve"> Договору.</w:t>
      </w:r>
      <w:bookmarkStart w:id="2" w:name="_Hlk131682113"/>
      <w:r/>
      <w:bookmarkEnd w:id="1"/>
      <w:r/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Всі необхідні витратні матеріали, що необхідні для встановлення обладнання та витрати на них, Учаснику необхідно передбачити та </w:t>
      </w:r>
      <w:r>
        <w:rPr>
          <w:rFonts w:ascii="Times New Roman" w:hAnsi="Times New Roman" w:cs="Times New Roman"/>
          <w:sz w:val="24"/>
          <w:szCs w:val="24"/>
        </w:rPr>
        <w:t xml:space="preserve">внести</w:t>
      </w:r>
      <w:r>
        <w:rPr>
          <w:rFonts w:ascii="Times New Roman" w:hAnsi="Times New Roman" w:cs="Times New Roman"/>
          <w:sz w:val="24"/>
          <w:szCs w:val="24"/>
        </w:rPr>
        <w:t xml:space="preserve"> в ціну тендерної пропозиції. За </w:t>
      </w:r>
      <w:r>
        <w:rPr>
          <w:rFonts w:ascii="Times New Roman" w:hAnsi="Times New Roman" w:cs="Times New Roman"/>
          <w:sz w:val="24"/>
          <w:szCs w:val="24"/>
        </w:rPr>
        <w:t xml:space="preserve">необхідності Учасник може за домовленістю із Замовником відвідати та оглянути об’єкт Замовника де необхідно поставити та встановити Товар.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Надати у складі пропозиції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копію чинної ліцензії </w:t>
      </w:r>
      <w:r>
        <w:rPr>
          <w:rFonts w:ascii="Times New Roman" w:hAnsi="Times New Roman" w:cs="Times New Roman"/>
          <w:sz w:val="24"/>
          <w:szCs w:val="24"/>
        </w:rPr>
        <w:t xml:space="preserve">або документа дозвільного характеру (у разі їх наявності) на провадження певного виду господарської діяльності, якщо отримання дозволу або ліцензії на провадження такого виду діяльності передбачено законом.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/>
      <w:bookmarkStart w:id="3" w:name="_Hlk150264536"/>
      <w:r>
        <w:rPr>
          <w:rFonts w:ascii="Times New Roman" w:hAnsi="Times New Roman" w:cs="Times New Roman"/>
          <w:b/>
          <w:bCs/>
          <w:sz w:val="24"/>
          <w:szCs w:val="24"/>
        </w:rPr>
        <w:t xml:space="preserve">Технічні, якісні та кількісні характеристики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bookmarkEnd w:id="3"/>
      <w:r/>
    </w:p>
    <w:p>
      <w:pPr>
        <w:pStyle w:val="716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1" DISCS FILTER FOR LOW WATER FLOWS BSP 130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Micron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Дисковий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фільтр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1" для малого потоку 130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мікрон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2 шт.</w:t>
      </w:r>
      <w:r/>
    </w:p>
    <w:p>
      <w:pPr>
        <w:pStyle w:val="716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Картридж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поліпропіленовий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20 мкм ВВ 20” РР – 2шт.</w:t>
      </w:r>
      <w:r/>
    </w:p>
    <w:p>
      <w:pPr>
        <w:pStyle w:val="716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Сіль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таблетована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Ciech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в п/е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мішки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по 25кг,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виробництво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Польща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– 250 кг.</w:t>
      </w:r>
      <w:r/>
    </w:p>
    <w:p>
      <w:pPr>
        <w:pStyle w:val="716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 Система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комплексної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очистки SF 1465 TWIN 1- шт.</w:t>
      </w:r>
      <w:r/>
    </w:p>
    <w:p>
      <w:pPr>
        <w:pStyle w:val="716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Корпус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фільтра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ВВ20 в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комплекті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/ключ, кронштейн/ - 2шт.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</w:r>
      <w:r/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1134" w:leader="none"/>
          <w:tab w:val="left" w:pos="6750" w:leader="none"/>
          <w:tab w:val="left" w:pos="936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ХАРАКТЕРИСТИКИ:</w:t>
      </w:r>
      <w:r/>
    </w:p>
    <w:p>
      <w:pPr>
        <w:numPr>
          <w:ilvl w:val="0"/>
          <w:numId w:val="34"/>
        </w:numPr>
        <w:jc w:val="both"/>
        <w:spacing w:after="0" w:line="240" w:lineRule="auto"/>
        <w:shd w:val="clear" w:color="auto" w:fill="ffffff"/>
        <w:tabs>
          <w:tab w:val="left" w:pos="1134" w:leader="none"/>
          <w:tab w:val="left" w:pos="6750" w:leader="none"/>
          <w:tab w:val="left" w:pos="936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продуктивність: до 2,0-2,5м3/годину; до 40м3/добу;</w:t>
      </w:r>
      <w:r/>
    </w:p>
    <w:p>
      <w:pPr>
        <w:numPr>
          <w:ilvl w:val="0"/>
          <w:numId w:val="34"/>
        </w:numPr>
        <w:jc w:val="both"/>
        <w:spacing w:after="0" w:line="240" w:lineRule="auto"/>
        <w:shd w:val="clear" w:color="auto" w:fill="ffffff"/>
        <w:tabs>
          <w:tab w:val="left" w:pos="1134" w:leader="none"/>
          <w:tab w:val="left" w:pos="6750" w:leader="none"/>
          <w:tab w:val="left" w:pos="936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джерело: водопровід </w:t>
      </w:r>
      <w:r>
        <w:rPr>
          <w:rFonts w:ascii="Times New Roman" w:hAnsi="Times New Roman" w:cs="Times New Roman"/>
          <w:sz w:val="24"/>
          <w:szCs w:val="24"/>
        </w:rPr>
        <w:t xml:space="preserve">м.Київ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numPr>
          <w:ilvl w:val="0"/>
          <w:numId w:val="34"/>
        </w:numPr>
        <w:jc w:val="both"/>
        <w:spacing w:after="0" w:line="240" w:lineRule="auto"/>
        <w:shd w:val="clear" w:color="auto" w:fill="ffffff"/>
        <w:tabs>
          <w:tab w:val="left" w:pos="1134" w:leader="none"/>
          <w:tab w:val="left" w:pos="6750" w:leader="none"/>
          <w:tab w:val="left" w:pos="936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показники: прийнято стандартний аналіз водопровід </w:t>
      </w:r>
      <w:r>
        <w:rPr>
          <w:rFonts w:ascii="Times New Roman" w:hAnsi="Times New Roman" w:cs="Times New Roman"/>
          <w:sz w:val="24"/>
          <w:szCs w:val="24"/>
        </w:rPr>
        <w:t xml:space="preserve">м.Київ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numPr>
          <w:ilvl w:val="0"/>
          <w:numId w:val="34"/>
        </w:numPr>
        <w:jc w:val="both"/>
        <w:spacing w:after="0" w:line="240" w:lineRule="auto"/>
        <w:shd w:val="clear" w:color="auto" w:fill="ffffff"/>
        <w:tabs>
          <w:tab w:val="left" w:pos="1134" w:leader="none"/>
          <w:tab w:val="left" w:pos="6750" w:leader="none"/>
          <w:tab w:val="left" w:pos="936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вимоги до води: згідно з </w:t>
      </w:r>
      <w:r>
        <w:rPr>
          <w:rFonts w:ascii="Times New Roman" w:hAnsi="Times New Roman" w:cs="Times New Roman"/>
          <w:sz w:val="24"/>
          <w:szCs w:val="24"/>
        </w:rPr>
        <w:t xml:space="preserve">ДСанПіном</w:t>
      </w:r>
      <w:r>
        <w:rPr>
          <w:rFonts w:ascii="Times New Roman" w:hAnsi="Times New Roman" w:cs="Times New Roman"/>
          <w:sz w:val="24"/>
          <w:szCs w:val="24"/>
        </w:rPr>
        <w:t xml:space="preserve"> 2.2.4-171-10;</w:t>
      </w:r>
      <w:r/>
    </w:p>
    <w:p>
      <w:pPr>
        <w:numPr>
          <w:ilvl w:val="0"/>
          <w:numId w:val="34"/>
        </w:numPr>
        <w:jc w:val="both"/>
        <w:spacing w:after="0" w:line="240" w:lineRule="auto"/>
        <w:shd w:val="clear" w:color="auto" w:fill="ffffff"/>
        <w:tabs>
          <w:tab w:val="left" w:pos="1134" w:leader="none"/>
          <w:tab w:val="left" w:pos="6750" w:leader="none"/>
          <w:tab w:val="left" w:pos="936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роботи: періодичний.</w:t>
      </w:r>
      <w:r/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6750" w:leader="none"/>
          <w:tab w:val="left" w:pos="936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Вхідна вода характеризується такими понаднормовими показниками, що потребують суттєвої корекції:</w:t>
      </w:r>
      <w:r/>
    </w:p>
    <w:p>
      <w:pPr>
        <w:numPr>
          <w:ilvl w:val="0"/>
          <w:numId w:val="34"/>
        </w:numPr>
        <w:spacing w:after="0"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каламутність та забарвленість;</w:t>
      </w:r>
      <w:r/>
    </w:p>
    <w:p>
      <w:pPr>
        <w:numPr>
          <w:ilvl w:val="0"/>
          <w:numId w:val="34"/>
        </w:numPr>
        <w:spacing w:after="0"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залізо та марганець;</w:t>
      </w:r>
      <w:r/>
    </w:p>
    <w:p>
      <w:pPr>
        <w:numPr>
          <w:ilvl w:val="0"/>
          <w:numId w:val="34"/>
        </w:numPr>
        <w:spacing w:after="0"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загальна жорсткість;</w:t>
      </w:r>
      <w:r/>
    </w:p>
    <w:p>
      <w:pPr>
        <w:numPr>
          <w:ilvl w:val="0"/>
          <w:numId w:val="34"/>
        </w:numPr>
        <w:spacing w:after="0"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окиснюваність.</w:t>
      </w:r>
      <w:r/>
    </w:p>
    <w:p>
      <w:pPr>
        <w:ind w:left="567"/>
        <w:jc w:val="both"/>
        <w:spacing w:before="191" w:after="0" w:line="240" w:lineRule="auto"/>
        <w:rPr>
          <w:rFonts w:ascii="Times New Roman" w:hAnsi="Times New Roman" w:eastAsia="Calibri" w:cs="Times New Roman"/>
          <w:spacing w:val="-2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Стислий</w:t>
      </w:r>
      <w:r>
        <w:rPr>
          <w:rFonts w:ascii="Times New Roman" w:hAnsi="Times New Roman" w:eastAsia="Calibri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опис</w:t>
      </w:r>
      <w:r>
        <w:rPr>
          <w:rFonts w:ascii="Times New Roman" w:hAnsi="Times New Roman" w:eastAsia="Calibri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технологічного</w:t>
      </w:r>
      <w:r>
        <w:rPr>
          <w:rFonts w:ascii="Times New Roman" w:hAnsi="Times New Roman" w:eastAsia="Calibri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pacing w:val="-2"/>
          <w:sz w:val="24"/>
          <w:szCs w:val="24"/>
        </w:rPr>
        <w:t xml:space="preserve">рішення:</w:t>
      </w:r>
      <w:r/>
    </w:p>
    <w:p>
      <w:pPr>
        <w:ind w:left="567"/>
        <w:jc w:val="both"/>
        <w:spacing w:before="191"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/>
    </w:p>
    <w:tbl>
      <w:tblPr>
        <w:tblW w:w="9773" w:type="dxa"/>
        <w:tblInd w:w="5" w:type="dxa"/>
        <w:tblBorders>
          <w:top w:val="single" w:color="8DB3E1" w:sz="4" w:space="0"/>
          <w:left w:val="single" w:color="8DB3E1" w:sz="4" w:space="0"/>
          <w:bottom w:val="single" w:color="8DB3E1" w:sz="4" w:space="0"/>
          <w:right w:val="single" w:color="8DB3E1" w:sz="4" w:space="0"/>
          <w:insideH w:val="single" w:color="8DB3E1" w:sz="4" w:space="0"/>
          <w:insideV w:val="single" w:color="8DB3E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7509"/>
      </w:tblGrid>
      <w:tr>
        <w:trPr>
          <w:trHeight w:val="517"/>
        </w:trPr>
        <w:tc>
          <w:tcPr>
            <w:shd w:val="clear" w:color="auto" w:fill="dbe4f0"/>
            <w:tcW w:w="2264" w:type="dxa"/>
            <w:vAlign w:val="center"/>
            <w:textDirection w:val="lrTb"/>
            <w:noWrap w:val="false"/>
          </w:tcPr>
          <w:p>
            <w:pPr>
              <w:ind w:left="419"/>
              <w:jc w:val="center"/>
              <w:spacing w:after="0" w:line="240" w:lineRule="auto"/>
              <w:rPr>
                <w:rFonts w:ascii="Times New Roman" w:hAnsi="Times New Roman" w:eastAsia="Calibri Light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 Light" w:cs="Times New Roman"/>
                <w:b/>
                <w:bCs/>
                <w:sz w:val="24"/>
                <w:szCs w:val="24"/>
              </w:rPr>
              <w:t xml:space="preserve">Стадія</w:t>
            </w:r>
            <w:r>
              <w:rPr>
                <w:rFonts w:ascii="Times New Roman" w:hAnsi="Times New Roman" w:eastAsia="Calibri Light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 Light" w:cs="Times New Roman"/>
                <w:b/>
                <w:bCs/>
                <w:spacing w:val="-2"/>
                <w:sz w:val="24"/>
                <w:szCs w:val="24"/>
              </w:rPr>
              <w:t xml:space="preserve">обробки</w:t>
            </w:r>
            <w:r/>
          </w:p>
        </w:tc>
        <w:tc>
          <w:tcPr>
            <w:shd w:val="clear" w:color="auto" w:fill="dbe4f0"/>
            <w:tcW w:w="7509" w:type="dxa"/>
            <w:vAlign w:val="center"/>
            <w:textDirection w:val="lrTb"/>
            <w:noWrap w:val="false"/>
          </w:tcPr>
          <w:p>
            <w:pPr>
              <w:ind w:left="6"/>
              <w:jc w:val="center"/>
              <w:spacing w:after="0" w:line="240" w:lineRule="auto"/>
              <w:rPr>
                <w:rFonts w:ascii="Times New Roman" w:hAnsi="Times New Roman" w:eastAsia="Calibri Light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 Light" w:cs="Times New Roman"/>
                <w:b/>
                <w:bCs/>
                <w:sz w:val="24"/>
                <w:szCs w:val="24"/>
              </w:rPr>
              <w:t xml:space="preserve">Опис,</w:t>
            </w:r>
            <w:r>
              <w:rPr>
                <w:rFonts w:ascii="Times New Roman" w:hAnsi="Times New Roman" w:eastAsia="Calibri Light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 Light" w:cs="Times New Roman"/>
                <w:b/>
                <w:bCs/>
                <w:spacing w:val="-2"/>
                <w:sz w:val="24"/>
                <w:szCs w:val="24"/>
              </w:rPr>
              <w:t xml:space="preserve">призначення</w:t>
            </w:r>
            <w:r/>
          </w:p>
        </w:tc>
      </w:tr>
      <w:tr>
        <w:trPr>
          <w:trHeight w:val="1300"/>
        </w:trPr>
        <w:tc>
          <w:tcPr>
            <w:shd w:val="clear" w:color="auto" w:fill="auto"/>
            <w:tcW w:w="2264" w:type="dxa"/>
            <w:textDirection w:val="lrTb"/>
            <w:noWrap w:val="false"/>
          </w:tcPr>
          <w:p>
            <w:pPr>
              <w:ind w:left="142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Груба механічна фільтрація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дискових</w:t>
            </w:r>
            <w:r>
              <w:rPr>
                <w:rFonts w:ascii="Times New Roman" w:hAnsi="Times New Roman" w:eastAsia="Calibri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фільтрах</w:t>
            </w:r>
            <w:r/>
          </w:p>
        </w:tc>
        <w:tc>
          <w:tcPr>
            <w:shd w:val="clear" w:color="auto" w:fill="auto"/>
            <w:tcW w:w="7509" w:type="dxa"/>
            <w:textDirection w:val="lrTb"/>
            <w:noWrap w:val="false"/>
          </w:tcPr>
          <w:p>
            <w:pPr>
              <w:ind w:left="15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Попередня фільтрація від великих механічних та завислих частинок здійснюється на дискових фільтрах 100-130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мкм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 Дозволяє захистити основне обладнання від пошкоджень великими частинками іржі, окалини тощо і призведе до збільшення ресурсу експлуатації обладнання.</w:t>
            </w:r>
            <w:r/>
          </w:p>
        </w:tc>
      </w:tr>
      <w:tr>
        <w:trPr>
          <w:trHeight w:val="1598"/>
        </w:trPr>
        <w:tc>
          <w:tcPr>
            <w:shd w:val="clear" w:color="auto" w:fill="auto"/>
            <w:tcW w:w="2264" w:type="dxa"/>
            <w:textDirection w:val="lrTb"/>
            <w:noWrap w:val="false"/>
          </w:tcPr>
          <w:p>
            <w:pPr>
              <w:ind w:left="142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Установка комплексного очищення т</w:t>
            </w:r>
            <w:r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пом’якшення </w:t>
            </w:r>
            <w:r>
              <w:rPr>
                <w:rFonts w:ascii="Times New Roman" w:hAnsi="Times New Roman" w:eastAsia="Calibri" w:cs="Times New Roman"/>
                <w:spacing w:val="-4"/>
                <w:sz w:val="24"/>
                <w:szCs w:val="24"/>
              </w:rPr>
              <w:t xml:space="preserve">води</w:t>
            </w:r>
            <w:r/>
          </w:p>
          <w:p>
            <w:pPr>
              <w:ind w:left="142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першого</w:t>
            </w:r>
            <w:r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ступеня</w:t>
            </w:r>
            <w:r/>
          </w:p>
        </w:tc>
        <w:tc>
          <w:tcPr>
            <w:shd w:val="clear" w:color="auto" w:fill="auto"/>
            <w:tcW w:w="7509" w:type="dxa"/>
            <w:textDirection w:val="lrTb"/>
            <w:noWrap w:val="false"/>
          </w:tcPr>
          <w:p>
            <w:pPr>
              <w:ind w:left="15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Видаляє з вхідної води солі жорсткості, це іонообмінний процес заміщення солей кальцію та магнію на солі натрію. Також за допомогою фільтруючого завантаження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Ecomix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видаляє з води залізо, марганець, амоній та суттєво знижує окиснюваність.</w:t>
            </w:r>
            <w:r/>
          </w:p>
        </w:tc>
      </w:tr>
      <w:tr>
        <w:trPr>
          <w:trHeight w:val="1301"/>
        </w:trPr>
        <w:tc>
          <w:tcPr>
            <w:shd w:val="clear" w:color="auto" w:fill="auto"/>
            <w:tcW w:w="2264" w:type="dxa"/>
            <w:textDirection w:val="lrTb"/>
            <w:noWrap w:val="false"/>
          </w:tcPr>
          <w:p>
            <w:pPr>
              <w:ind w:left="107" w:right="94"/>
              <w:spacing w:before="119" w:after="0" w:line="240" w:lineRule="auto"/>
              <w:tabs>
                <w:tab w:val="left" w:pos="1223" w:leader="none"/>
                <w:tab w:val="left" w:pos="1935" w:leader="none"/>
              </w:tabs>
              <w:rPr>
                <w:rFonts w:ascii="Times New Roman" w:hAnsi="Times New Roman" w:eastAsia="Calibri Light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 Light" w:cs="Times New Roman"/>
                <w:spacing w:val="-2"/>
                <w:sz w:val="24"/>
                <w:szCs w:val="24"/>
              </w:rPr>
              <w:t xml:space="preserve">Тонка механічна фільтрація</w:t>
            </w:r>
            <w:r>
              <w:rPr>
                <w:rFonts w:ascii="Times New Roman" w:hAnsi="Times New Roman" w:eastAsia="Calibri Light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Calibri Light" w:cs="Times New Roman"/>
                <w:spacing w:val="-6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eastAsia="Calibri Light" w:cs="Times New Roman"/>
                <w:spacing w:val="-2"/>
                <w:sz w:val="24"/>
                <w:szCs w:val="24"/>
              </w:rPr>
              <w:t xml:space="preserve">картриджному</w:t>
            </w:r>
            <w:r>
              <w:rPr>
                <w:rFonts w:ascii="Times New Roman" w:hAnsi="Times New Roman" w:eastAsia="Calibri Light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 Light" w:cs="Times New Roman"/>
                <w:spacing w:val="-2"/>
                <w:sz w:val="24"/>
                <w:szCs w:val="24"/>
              </w:rPr>
              <w:t xml:space="preserve">фільтрі</w:t>
            </w:r>
            <w:r/>
          </w:p>
        </w:tc>
        <w:tc>
          <w:tcPr>
            <w:shd w:val="clear" w:color="auto" w:fill="auto"/>
            <w:tcW w:w="7509" w:type="dxa"/>
            <w:textDirection w:val="lrTb"/>
            <w:noWrap w:val="false"/>
          </w:tcPr>
          <w:p>
            <w:pPr>
              <w:ind w:left="15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Фільтрація</w:t>
            </w:r>
            <w:r>
              <w:rPr>
                <w:rFonts w:ascii="Times New Roman" w:hAnsi="Times New Roman" w:eastAsia="Calibri" w:cs="Times New Roman"/>
                <w:spacing w:val="3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eastAsia="Calibri" w:cs="Times New Roman"/>
                <w:spacing w:val="3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картриджному</w:t>
            </w:r>
            <w:r>
              <w:rPr>
                <w:rFonts w:ascii="Times New Roman" w:hAnsi="Times New Roman" w:eastAsia="Calibri" w:cs="Times New Roman"/>
                <w:spacing w:val="33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фільтрі</w:t>
            </w:r>
            <w:r>
              <w:rPr>
                <w:rFonts w:ascii="Times New Roman" w:hAnsi="Times New Roman" w:eastAsia="Calibri" w:cs="Times New Roman"/>
                <w:spacing w:val="3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eastAsia="Calibri" w:cs="Times New Roman"/>
                <w:spacing w:val="33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розміром</w:t>
            </w:r>
            <w:r>
              <w:rPr>
                <w:rFonts w:ascii="Times New Roman" w:hAnsi="Times New Roman" w:eastAsia="Calibri" w:cs="Times New Roman"/>
                <w:spacing w:val="3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</w:t>
            </w:r>
            <w:r>
              <w:rPr>
                <w:rFonts w:ascii="Times New Roman" w:hAnsi="Times New Roman" w:eastAsia="Calibri" w:cs="Times New Roman"/>
                <w:spacing w:val="32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 w:cs="Times New Roman"/>
                <w:spacing w:val="32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мкм</w:t>
            </w:r>
            <w:r>
              <w:rPr>
                <w:rFonts w:ascii="Times New Roman" w:hAnsi="Times New Roman" w:eastAsia="Calibri" w:cs="Times New Roman"/>
                <w:spacing w:val="32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  <w:t xml:space="preserve">виконує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«поліцейські» функції, тобто перешкоджає випадковому потраплянню в очищену воду будь-яких небажаних домішок, наприклад, подрібненого фільтраційного матеріалу з засипних фільтрів.</w:t>
            </w:r>
            <w:r/>
          </w:p>
        </w:tc>
      </w:tr>
    </w:tbl>
    <w:p>
      <w:pPr>
        <w:ind w:right="439"/>
        <w:jc w:val="center"/>
        <w:spacing w:before="214" w:after="0" w:line="240" w:lineRule="auto"/>
        <w:rPr>
          <w:rFonts w:ascii="Times New Roman" w:hAnsi="Times New Roman" w:eastAsia="Calibri Light" w:cs="Times New Roman"/>
          <w:b/>
          <w:bCs/>
          <w:sz w:val="24"/>
          <w:szCs w:val="24"/>
        </w:rPr>
      </w:pPr>
      <w:r>
        <w:rPr>
          <w:rFonts w:ascii="Times New Roman" w:hAnsi="Times New Roman" w:eastAsia="Calibri Light" w:cs="Times New Roman"/>
          <w:b/>
          <w:bCs/>
          <w:sz w:val="24"/>
          <w:szCs w:val="24"/>
        </w:rPr>
        <w:t xml:space="preserve">Технологічна</w:t>
      </w:r>
      <w:r>
        <w:rPr>
          <w:rFonts w:ascii="Times New Roman" w:hAnsi="Times New Roman" w:eastAsia="Calibri Light" w:cs="Times New Roman"/>
          <w:b/>
          <w:bCs/>
          <w:spacing w:val="33"/>
          <w:sz w:val="24"/>
          <w:szCs w:val="24"/>
        </w:rPr>
        <w:t xml:space="preserve"> </w:t>
      </w:r>
      <w:r>
        <w:rPr>
          <w:rFonts w:ascii="Times New Roman" w:hAnsi="Times New Roman" w:eastAsia="Calibri Light" w:cs="Times New Roman"/>
          <w:b/>
          <w:bCs/>
          <w:spacing w:val="-4"/>
          <w:sz w:val="24"/>
          <w:szCs w:val="24"/>
        </w:rPr>
        <w:t xml:space="preserve">схема: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uk-U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194945</wp:posOffset>
                </wp:positionV>
                <wp:extent cx="6191250" cy="4113530"/>
                <wp:effectExtent l="0" t="0" r="0" b="1270"/>
                <wp:wrapTopAndBottom/>
                <wp:docPr id="1" name="Рисунок 1" descr="Изображение выглядит как текст, диаграмма, План, рисунок  Автоматически созданное описание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6" descr="Изображение выглядит как текст, диаграмма, План, рисунок  Автоматически созданное описание"/>
                        <pic:cNvPicPr>
                          <a:picLocks noChangeArrowheads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191250" cy="411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margin;mso-position-horizontal:left;mso-position-vertical-relative:text;margin-top:15.3pt;mso-position-vertical:absolute;width:487.5pt;height:323.9pt;mso-wrap-distance-left:0.0pt;mso-wrap-distance-top:0.0pt;mso-wrap-distance-right:0.0pt;mso-wrap-distance-bottom:0.0pt;" stroked="f">
                <v:path textboxrect="0,0,0,0"/>
                <w10:wrap type="topAndBottom"/>
                <v:imagedata r:id="rId11" o:title=""/>
              </v:shape>
            </w:pict>
          </mc:Fallback>
        </mc:AlternateConten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firstLine="567"/>
        <w:jc w:val="both"/>
        <w:spacing w:after="0" w:line="240" w:lineRule="auto"/>
        <w:tabs>
          <w:tab w:val="left" w:pos="540" w:leader="none"/>
          <w:tab w:val="left" w:pos="684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130 878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сто тридцять тисяч вісімсот сімдесят вісім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гривень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50202020403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u w:val="no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5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8"/>
  </w:num>
  <w:num w:numId="2">
    <w:abstractNumId w:val="16"/>
  </w:num>
  <w:num w:numId="3">
    <w:abstractNumId w:val="7"/>
  </w:num>
  <w:num w:numId="4">
    <w:abstractNumId w:val="23"/>
  </w:num>
  <w:num w:numId="5">
    <w:abstractNumId w:val="6"/>
  </w:num>
  <w:num w:numId="6">
    <w:abstractNumId w:val="29"/>
  </w:num>
  <w:num w:numId="7">
    <w:abstractNumId w:val="10"/>
  </w:num>
  <w:num w:numId="8">
    <w:abstractNumId w:val="31"/>
  </w:num>
  <w:num w:numId="9">
    <w:abstractNumId w:val="2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8"/>
  </w:num>
  <w:num w:numId="13">
    <w:abstractNumId w:val="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0"/>
  </w:num>
  <w:num w:numId="17">
    <w:abstractNumId w:val="1"/>
  </w:num>
  <w:num w:numId="18">
    <w:abstractNumId w:val="32"/>
  </w:num>
  <w:num w:numId="19">
    <w:abstractNumId w:val="24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5"/>
  </w:num>
  <w:num w:numId="25">
    <w:abstractNumId w:val="18"/>
  </w:num>
  <w:num w:numId="26">
    <w:abstractNumId w:val="21"/>
  </w:num>
  <w:num w:numId="27">
    <w:abstractNumId w:val="26"/>
  </w:num>
  <w:num w:numId="28">
    <w:abstractNumId w:val="19"/>
  </w:num>
  <w:num w:numId="29">
    <w:abstractNumId w:val="27"/>
  </w:num>
  <w:num w:numId="30">
    <w:abstractNumId w:val="15"/>
  </w:num>
  <w:num w:numId="31">
    <w:abstractNumId w:val="3"/>
  </w:num>
  <w:num w:numId="32">
    <w:abstractNumId w:val="0"/>
  </w:num>
  <w:num w:numId="33">
    <w:abstractNumId w:val="12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1"/>
    <w:next w:val="711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3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13"/>
    <w:link w:val="712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1"/>
    <w:next w:val="711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1"/>
    <w:next w:val="711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1"/>
    <w:next w:val="711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1"/>
    <w:next w:val="711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1"/>
    <w:next w:val="711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1"/>
    <w:next w:val="711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1"/>
    <w:next w:val="711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11"/>
    <w:next w:val="711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3"/>
    <w:link w:val="33"/>
    <w:uiPriority w:val="10"/>
    <w:rPr>
      <w:sz w:val="48"/>
      <w:szCs w:val="48"/>
    </w:rPr>
  </w:style>
  <w:style w:type="paragraph" w:styleId="35">
    <w:name w:val="Subtitle"/>
    <w:basedOn w:val="711"/>
    <w:next w:val="711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3"/>
    <w:link w:val="35"/>
    <w:uiPriority w:val="11"/>
    <w:rPr>
      <w:sz w:val="24"/>
      <w:szCs w:val="24"/>
    </w:rPr>
  </w:style>
  <w:style w:type="paragraph" w:styleId="37">
    <w:name w:val="Quote"/>
    <w:basedOn w:val="711"/>
    <w:next w:val="711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1"/>
    <w:next w:val="711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11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13"/>
    <w:link w:val="41"/>
    <w:uiPriority w:val="99"/>
  </w:style>
  <w:style w:type="character" w:styleId="44">
    <w:name w:val="Footer Char"/>
    <w:basedOn w:val="713"/>
    <w:link w:val="722"/>
    <w:uiPriority w:val="99"/>
  </w:style>
  <w:style w:type="paragraph" w:styleId="45">
    <w:name w:val="Caption"/>
    <w:basedOn w:val="711"/>
    <w:next w:val="7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2"/>
    <w:uiPriority w:val="99"/>
  </w:style>
  <w:style w:type="table" w:styleId="48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11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3"/>
    <w:uiPriority w:val="99"/>
    <w:unhideWhenUsed/>
    <w:rPr>
      <w:vertAlign w:val="superscript"/>
    </w:rPr>
  </w:style>
  <w:style w:type="paragraph" w:styleId="177">
    <w:name w:val="endnote text"/>
    <w:basedOn w:val="711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3"/>
    <w:uiPriority w:val="99"/>
    <w:semiHidden/>
    <w:unhideWhenUsed/>
    <w:rPr>
      <w:vertAlign w:val="superscript"/>
    </w:rPr>
  </w:style>
  <w:style w:type="paragraph" w:styleId="180">
    <w:name w:val="toc 1"/>
    <w:basedOn w:val="711"/>
    <w:next w:val="711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1"/>
    <w:next w:val="711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1"/>
    <w:next w:val="711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1"/>
    <w:next w:val="711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1"/>
    <w:next w:val="711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1"/>
    <w:next w:val="711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1"/>
    <w:next w:val="711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1"/>
    <w:next w:val="711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1"/>
    <w:next w:val="711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1"/>
    <w:next w:val="711"/>
    <w:uiPriority w:val="99"/>
    <w:unhideWhenUsed/>
    <w:pPr>
      <w:spacing w:after="0" w:afterAutospacing="0"/>
    </w:pPr>
  </w:style>
  <w:style w:type="paragraph" w:styleId="711" w:default="1">
    <w:name w:val="Normal"/>
    <w:qFormat/>
    <w:rPr>
      <w:lang w:val="uk-UA"/>
    </w:rPr>
  </w:style>
  <w:style w:type="paragraph" w:styleId="712">
    <w:name w:val="Heading 2"/>
    <w:basedOn w:val="711"/>
    <w:link w:val="731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713" w:default="1">
    <w:name w:val="Default Paragraph Font"/>
    <w:uiPriority w:val="1"/>
    <w:semiHidden/>
    <w:unhideWhenUsed/>
  </w:style>
  <w:style w:type="table" w:styleId="7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5" w:default="1">
    <w:name w:val="No List"/>
    <w:uiPriority w:val="99"/>
    <w:semiHidden/>
    <w:unhideWhenUsed/>
  </w:style>
  <w:style w:type="paragraph" w:styleId="716">
    <w:name w:val="List Paragraph"/>
    <w:basedOn w:val="711"/>
    <w:link w:val="71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17" w:customStyle="1">
    <w:name w:val="Абзац списку Знак"/>
    <w:link w:val="716"/>
    <w:uiPriority w:val="34"/>
    <w:qFormat/>
    <w:rPr>
      <w:rFonts w:ascii="Calibri" w:hAnsi="Calibri" w:eastAsia="Calibri" w:cs="Calibri"/>
      <w:lang w:eastAsia="zh-CN"/>
    </w:rPr>
  </w:style>
  <w:style w:type="table" w:styleId="718">
    <w:name w:val="Table Grid"/>
    <w:basedOn w:val="71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9" w:customStyle="1">
    <w:name w:val="Сетка таблицы2"/>
    <w:basedOn w:val="714"/>
    <w:next w:val="718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0">
    <w:name w:val="Normal (Web)"/>
    <w:basedOn w:val="711"/>
    <w:link w:val="727"/>
    <w:unhideWhenUsed/>
    <w:qFormat/>
    <w:rPr>
      <w:rFonts w:ascii="Times New Roman" w:hAnsi="Times New Roman" w:cs="Times New Roman"/>
      <w:sz w:val="24"/>
      <w:szCs w:val="24"/>
    </w:rPr>
  </w:style>
  <w:style w:type="table" w:styleId="721" w:customStyle="1">
    <w:name w:val="Сетка таблицы1"/>
    <w:basedOn w:val="714"/>
    <w:next w:val="718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2">
    <w:name w:val="Footer"/>
    <w:basedOn w:val="711"/>
    <w:link w:val="723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23" w:customStyle="1">
    <w:name w:val="Нижній колонтитул Знак"/>
    <w:basedOn w:val="713"/>
    <w:link w:val="722"/>
    <w:uiPriority w:val="99"/>
    <w:rPr>
      <w:rFonts w:ascii="Calibri" w:hAnsi="Calibri" w:eastAsia="Calibri" w:cs="Calibri"/>
      <w:lang w:eastAsia="zh-CN"/>
    </w:rPr>
  </w:style>
  <w:style w:type="paragraph" w:styleId="724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25">
    <w:name w:val="Hyperlink"/>
    <w:basedOn w:val="713"/>
    <w:uiPriority w:val="99"/>
    <w:unhideWhenUsed/>
    <w:rPr>
      <w:color w:val="0563c1" w:themeColor="hyperlink"/>
      <w:u w:val="single"/>
    </w:rPr>
  </w:style>
  <w:style w:type="character" w:styleId="726" w:customStyle="1">
    <w:name w:val="xfm_93972720"/>
    <w:basedOn w:val="713"/>
  </w:style>
  <w:style w:type="character" w:styleId="727" w:customStyle="1">
    <w:name w:val="Звичайний (веб) Знак"/>
    <w:link w:val="720"/>
    <w:qFormat/>
    <w:rPr>
      <w:rFonts w:ascii="Times New Roman" w:hAnsi="Times New Roman" w:cs="Times New Roman"/>
      <w:sz w:val="24"/>
      <w:szCs w:val="24"/>
      <w:lang w:val="uk-UA"/>
    </w:rPr>
  </w:style>
  <w:style w:type="paragraph" w:styleId="728">
    <w:name w:val="Body Text 2"/>
    <w:basedOn w:val="711"/>
    <w:link w:val="729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29" w:customStyle="1">
    <w:name w:val="Основний текст 2 Знак"/>
    <w:basedOn w:val="713"/>
    <w:link w:val="728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30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31" w:customStyle="1">
    <w:name w:val="Заголовок 2 Знак"/>
    <w:basedOn w:val="713"/>
    <w:link w:val="712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32">
    <w:name w:val="No Spacing"/>
    <w:link w:val="733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33" w:customStyle="1">
    <w:name w:val="Без інтервалів Знак"/>
    <w:basedOn w:val="713"/>
    <w:link w:val="732"/>
    <w:uiPriority w:val="1"/>
    <w:rPr>
      <w:rFonts w:ascii="Calibri" w:hAnsi="Calibri" w:eastAsia="Calibri" w:cs="Times New Roman"/>
      <w:lang w:val="uk-UA"/>
    </w:rPr>
  </w:style>
  <w:style w:type="character" w:styleId="734" w:customStyle="1">
    <w:name w:val="Другое_"/>
    <w:basedOn w:val="713"/>
    <w:link w:val="735"/>
    <w:rPr>
      <w:rFonts w:ascii="Calibri" w:hAnsi="Calibri" w:eastAsia="Calibri" w:cs="Calibri"/>
      <w:sz w:val="20"/>
      <w:szCs w:val="20"/>
    </w:rPr>
  </w:style>
  <w:style w:type="paragraph" w:styleId="735" w:customStyle="1">
    <w:name w:val="Другое"/>
    <w:basedOn w:val="711"/>
    <w:link w:val="734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36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37" w:customStyle="1">
    <w:name w:val="Основной текст (2)_"/>
    <w:basedOn w:val="713"/>
    <w:link w:val="738"/>
    <w:rPr>
      <w:rFonts w:eastAsia="Times New Roman" w:cs="Times New Roman"/>
      <w:shd w:val="clear" w:color="auto" w:fill="ffffff"/>
    </w:rPr>
  </w:style>
  <w:style w:type="paragraph" w:styleId="738" w:customStyle="1">
    <w:name w:val="Основной текст (2)"/>
    <w:basedOn w:val="711"/>
    <w:link w:val="737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39" w:customStyle="1">
    <w:name w:val="Текст у виносці Знак"/>
    <w:basedOn w:val="713"/>
    <w:link w:val="740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40">
    <w:name w:val="Balloon Text"/>
    <w:basedOn w:val="711"/>
    <w:link w:val="739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41" w:customStyle="1">
    <w:name w:val="Текст у виносці Знак1"/>
    <w:basedOn w:val="713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42" w:customStyle="1">
    <w:name w:val="T23"/>
    <w:rPr>
      <w:rFonts w:hint="default" w:ascii="Times New Roman" w:hAnsi="Times New Roman" w:eastAsia="Times New Roman1" w:cs="Times New Roman"/>
    </w:rPr>
  </w:style>
  <w:style w:type="paragraph" w:styleId="743" w:customStyle="1">
    <w:name w:val="Абзац списку1"/>
    <w:basedOn w:val="711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44" w:customStyle="1">
    <w:name w:val="markedcontent"/>
    <w:basedOn w:val="713"/>
  </w:style>
  <w:style w:type="paragraph" w:styleId="745">
    <w:name w:val="annotation text"/>
    <w:basedOn w:val="711"/>
    <w:link w:val="746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46" w:customStyle="1">
    <w:name w:val="Текст примітки Знак"/>
    <w:basedOn w:val="713"/>
    <w:link w:val="745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149</cp:revision>
  <dcterms:created xsi:type="dcterms:W3CDTF">2022-11-01T12:47:00Z</dcterms:created>
  <dcterms:modified xsi:type="dcterms:W3CDTF">2023-11-28T09:26:34Z</dcterms:modified>
</cp:coreProperties>
</file>