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 використання державних коштів» (зі змінами))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>
        <w:rPr>
          <w:rFonts w:ascii="Times New Roman" w:hAnsi="Times New Roman" w:cs="Times New Roman"/>
          <w:sz w:val="24"/>
          <w:szCs w:val="24"/>
        </w:rPr>
        <w:t xml:space="preserve">ДЕРЖАВНА УСТАНОВА "ЦЕНТР ІНФРАСТРУКТУРИ ТА ТЕХНОЛОГІЙ МІНІСТЕРСТВА ВНУТРІШНІХ СПРАВ УКРАЇНИ"; 03151, Україна, м. Київ, вул. Володимира </w:t>
      </w:r>
      <w:r>
        <w:rPr>
          <w:rFonts w:ascii="Times New Roman" w:hAnsi="Times New Roman" w:cs="Times New Roman"/>
          <w:sz w:val="24"/>
          <w:szCs w:val="24"/>
        </w:rPr>
        <w:t xml:space="preserve">Сікевича</w:t>
      </w:r>
      <w:r>
        <w:rPr>
          <w:rFonts w:ascii="Times New Roman" w:hAnsi="Times New Roman" w:cs="Times New Roman"/>
          <w:sz w:val="24"/>
          <w:szCs w:val="24"/>
        </w:rPr>
        <w:t xml:space="preserve">, 28; категорія замовника – бюджетна неприбуткова установа.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Назва предм</w:t>
      </w:r>
      <w:r>
        <w:rPr>
          <w:rFonts w:ascii="Times New Roman" w:hAnsi="Times New Roman" w:cs="Times New Roman"/>
          <w:b/>
          <w:sz w:val="24"/>
          <w:szCs w:val="24"/>
        </w:rPr>
        <w:t xml:space="preserve">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rFonts w:ascii="Times New Roman" w:hAnsi="Times New Roman" w:cs="Times New Roman"/>
          <w:b/>
          <w:sz w:val="24"/>
          <w:szCs w:val="24"/>
        </w:rPr>
        <w:t xml:space="preserve">«Послуга обов’язкового страхування цивільно-правової відповідальності власників наземних транспортних засобів» за кодом  CPV за ЄЗС ДК 021:2015: 66510000-8 «Страхові послуги»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Ідентифікатор закупівлі: — </w:t>
      </w:r>
      <w:r>
        <w:rPr>
          <w:rFonts w:ascii="Times New Roman" w:hAnsi="Times New Roman" w:cs="Times New Roman"/>
          <w:sz w:val="24"/>
          <w:szCs w:val="24"/>
        </w:rPr>
        <w:t xml:space="preserve">UA-2023-01-30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015492</w:t>
      </w:r>
      <w:r>
        <w:rPr>
          <w:rFonts w:ascii="Times New Roman" w:hAnsi="Times New Roman" w:cs="Times New Roman"/>
          <w:sz w:val="24"/>
          <w:szCs w:val="24"/>
        </w:rPr>
        <w:t xml:space="preserve">-a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4. Обґрунтування технічних та якісних характеристик предмета закупівлі:  Послуги з діагностики шредерів</w:t>
      </w:r>
      <w:bookmarkStart w:id="0" w:name="_GoBack"/>
      <w:r/>
      <w:bookmarkEnd w:id="0"/>
      <w:r/>
      <w:r/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8"/>
          <w:lang w:eastAsia="ru-RU"/>
        </w:rPr>
      </w:pPr>
      <w:r>
        <w:rPr>
          <w:rFonts w:ascii="Times New Roman" w:hAnsi="Times New Roman" w:eastAsia="Times New Roman" w:cs="Times New Roman"/>
          <w:b/>
          <w:sz w:val="8"/>
          <w:lang w:eastAsia="ru-RU"/>
        </w:rPr>
      </w:r>
      <w:r/>
    </w:p>
    <w:tbl>
      <w:tblPr>
        <w:tblW w:w="10646" w:type="dxa"/>
        <w:tblInd w:w="-72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none" w:color="000000" w:sz="4" w:space="0"/>
          <w:insideH w:val="single" w:color="000000" w:sz="2" w:space="0"/>
          <w:insideV w:val="none" w:color="000000" w:sz="4" w:space="0"/>
        </w:tblBorders>
        <w:tblLayout w:type="fixed"/>
        <w:tblCellMar>
          <w:left w:w="25" w:type="dxa"/>
          <w:top w:w="18" w:type="dxa"/>
          <w:right w:w="0" w:type="dxa"/>
          <w:bottom w:w="18" w:type="dxa"/>
        </w:tblCellMar>
        <w:tblLook w:val="04A0" w:firstRow="1" w:lastRow="0" w:firstColumn="1" w:lastColumn="0" w:noHBand="0" w:noVBand="1"/>
      </w:tblPr>
      <w:tblGrid>
        <w:gridCol w:w="425"/>
        <w:gridCol w:w="851"/>
        <w:gridCol w:w="1559"/>
        <w:gridCol w:w="2268"/>
        <w:gridCol w:w="1559"/>
        <w:gridCol w:w="851"/>
        <w:gridCol w:w="1276"/>
        <w:gridCol w:w="1857"/>
      </w:tblGrid>
      <w:tr>
        <w:trPr>
          <w:cantSplit/>
          <w:trHeight w:val="1315"/>
        </w:trPr>
        <w:tc>
          <w:tcPr>
            <w:shd w:val="clear" w:color="auto" w:fill="auto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none" w:color="000000" w:sz="4" w:space="0"/>
            </w:tcBorders>
            <w:tcMar>
              <w:left w:w="25" w:type="dxa"/>
            </w:tcMar>
            <w:tcW w:w="42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 CYR" w:cs="Times New Roman"/>
                <w:b/>
              </w:rPr>
            </w:pPr>
            <w:r>
              <w:rPr>
                <w:rFonts w:ascii="Times New Roman" w:hAnsi="Times New Roman" w:eastAsia="Times New Roman CYR" w:cs="Times New Roman"/>
                <w:b/>
              </w:rPr>
              <w:t xml:space="preserve">№</w:t>
            </w:r>
            <w:r/>
          </w:p>
          <w:p>
            <w:pPr>
              <w:jc w:val="center"/>
              <w:rPr>
                <w:rFonts w:ascii="Times New Roman" w:hAnsi="Times New Roman" w:eastAsia="Times New Roman CYR" w:cs="Times New Roman"/>
                <w:b/>
              </w:rPr>
            </w:pPr>
            <w:r>
              <w:rPr>
                <w:rFonts w:ascii="Times New Roman" w:hAnsi="Times New Roman" w:eastAsia="Times New Roman CYR" w:cs="Times New Roman"/>
                <w:b/>
              </w:rPr>
              <w:t xml:space="preserve">з/п</w:t>
            </w:r>
            <w:r/>
          </w:p>
        </w:tc>
        <w:tc>
          <w:tcPr>
            <w:shd w:val="clear" w:color="auto" w:fill="auto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none" w:color="000000" w:sz="4" w:space="0"/>
            </w:tcBorders>
            <w:tcMar>
              <w:left w:w="25" w:type="dxa"/>
            </w:tcMa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Марка, модель </w:t>
            </w:r>
            <w:r/>
          </w:p>
        </w:tc>
        <w:tc>
          <w:tcPr>
            <w:shd w:val="clear" w:color="auto" w:fill="auto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none" w:color="000000" w:sz="4" w:space="0"/>
            </w:tcBorders>
            <w:tcMar>
              <w:left w:w="25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 CYR" w:cs="Times New Roman"/>
                <w:b/>
              </w:rPr>
            </w:pPr>
            <w:r>
              <w:rPr>
                <w:rFonts w:ascii="Times New Roman" w:hAnsi="Times New Roman" w:eastAsia="Times New Roman CYR" w:cs="Times New Roman"/>
                <w:b/>
              </w:rPr>
              <w:t xml:space="preserve">Тип </w:t>
            </w:r>
            <w:r/>
          </w:p>
          <w:p>
            <w:pPr>
              <w:jc w:val="center"/>
              <w:rPr>
                <w:rFonts w:ascii="Times New Roman" w:hAnsi="Times New Roman" w:eastAsia="Times New Roman CYR" w:cs="Times New Roman"/>
                <w:b/>
              </w:rPr>
            </w:pPr>
            <w:r>
              <w:rPr>
                <w:rFonts w:ascii="Times New Roman" w:hAnsi="Times New Roman" w:eastAsia="Times New Roman CYR" w:cs="Times New Roman"/>
                <w:b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none" w:color="000000" w:sz="4" w:space="0"/>
            </w:tcBorders>
            <w:tcMar>
              <w:left w:w="25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 CYR" w:cs="Times New Roman"/>
                <w:b/>
              </w:rPr>
            </w:pPr>
            <w:r>
              <w:rPr>
                <w:rFonts w:ascii="Times New Roman" w:hAnsi="Times New Roman" w:eastAsia="Times New Roman CYR" w:cs="Times New Roman"/>
                <w:b/>
              </w:rPr>
              <w:t xml:space="preserve">Ідентифікаційний номер</w:t>
            </w:r>
            <w:r/>
          </w:p>
        </w:tc>
        <w:tc>
          <w:tcPr>
            <w:shd w:val="clear" w:color="auto" w:fill="auto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none" w:color="000000" w:sz="4" w:space="0"/>
            </w:tcBorders>
            <w:tcMar>
              <w:left w:w="25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 CYR" w:cs="Times New Roman"/>
                <w:b/>
              </w:rPr>
            </w:pPr>
            <w:r>
              <w:rPr>
                <w:rFonts w:ascii="Times New Roman" w:hAnsi="Times New Roman" w:eastAsia="Times New Roman CYR" w:cs="Times New Roman"/>
                <w:b/>
              </w:rPr>
              <w:t xml:space="preserve">Реєстраційний номер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Times New Roman" w:hAnsi="Times New Roman" w:eastAsia="Times New Roman CYR" w:cs="Times New Roman"/>
                <w:b/>
              </w:rPr>
            </w:pPr>
            <w:r>
              <w:rPr>
                <w:rFonts w:ascii="Times New Roman" w:hAnsi="Times New Roman" w:eastAsia="Times New Roman CYR" w:cs="Times New Roman"/>
                <w:b/>
              </w:rPr>
              <w:t xml:space="preserve">Рік випуску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Times New Roman" w:hAnsi="Times New Roman" w:eastAsia="Times New Roman CYR" w:cs="Times New Roman"/>
                <w:b/>
              </w:rPr>
            </w:pPr>
            <w:r>
              <w:rPr>
                <w:rFonts w:ascii="Times New Roman" w:hAnsi="Times New Roman" w:eastAsia="Times New Roman CYR" w:cs="Times New Roman"/>
                <w:b/>
              </w:rPr>
              <w:t xml:space="preserve">Маса, кг (повна/без навантаження)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cW w:w="1857" w:type="dxa"/>
            <w:vAlign w:val="center"/>
            <w:textDirection w:val="lrTb"/>
            <w:noWrap w:val="false"/>
          </w:tcPr>
          <w:p>
            <w:pPr>
              <w:ind w:left="-107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Times New Roman CYR" w:cs="Times New Roman"/>
                <w:b/>
              </w:rPr>
              <w:t xml:space="preserve">Об’єм двигуна см</w:t>
            </w:r>
            <w:r>
              <w:rPr>
                <w:rFonts w:ascii="Times New Roman" w:hAnsi="Times New Roman" w:eastAsia="Times New Roman CYR" w:cs="Times New Roman"/>
                <w:b/>
                <w:vertAlign w:val="superscript"/>
              </w:rPr>
              <w:t xml:space="preserve">3</w:t>
            </w:r>
            <w:r/>
          </w:p>
        </w:tc>
      </w:tr>
      <w:tr>
        <w:trPr>
          <w:trHeight w:val="397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5" w:type="dxa"/>
              <w:top w:w="0" w:type="dxa"/>
            </w:tcMar>
            <w:tcW w:w="42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ascii="Times New Roman" w:hAnsi="Times New Roman" w:eastAsia="Times New Roman CYR" w:cs="Times New Roman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5" w:type="dxa"/>
              <w:top w:w="0" w:type="dxa"/>
            </w:tcMar>
            <w:tcW w:w="851" w:type="dxa"/>
            <w:vAlign w:val="center"/>
            <w:textDirection w:val="lrTb"/>
            <w:noWrap w:val="false"/>
          </w:tcPr>
          <w:p>
            <w:pPr>
              <w:ind w:right="141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MG 5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5" w:type="dxa"/>
              <w:top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ind w:right="14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АР31/1АА1РА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5" w:type="dxa"/>
              <w:top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ind w:right="14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LSJA36E34NZ087663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5" w:type="dxa"/>
              <w:top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 5638 КВ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2021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 xml:space="preserve">1637/1260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7" w:type="dxa"/>
            <w:vAlign w:val="center"/>
            <w:textDirection w:val="lrTb"/>
            <w:noWrap w:val="false"/>
          </w:tcPr>
          <w:p>
            <w:pPr>
              <w:ind w:left="-107" w:right="-108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 xml:space="preserve">1498</w:t>
            </w:r>
            <w:r/>
          </w:p>
        </w:tc>
      </w:tr>
      <w:tr>
        <w:trPr>
          <w:trHeight w:val="397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5" w:type="dxa"/>
              <w:top w:w="0" w:type="dxa"/>
            </w:tcMar>
            <w:tcW w:w="42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ascii="Times New Roman" w:hAnsi="Times New Roman" w:eastAsia="Times New Roman CYR" w:cs="Times New Roman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5" w:type="dxa"/>
              <w:top w:w="0" w:type="dxa"/>
            </w:tcMar>
            <w:tcW w:w="851" w:type="dxa"/>
            <w:vAlign w:val="center"/>
            <w:textDirection w:val="lrTb"/>
            <w:noWrap w:val="false"/>
          </w:tcPr>
          <w:p>
            <w:pPr>
              <w:ind w:right="14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MG 5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5" w:type="dxa"/>
              <w:top w:w="0" w:type="dxa"/>
            </w:tcMar>
            <w:tcW w:w="1559" w:type="dxa"/>
            <w:textDirection w:val="lrTb"/>
            <w:noWrap w:val="false"/>
          </w:tcPr>
          <w:p>
            <w:pPr>
              <w:ind w:right="14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АР31/1АА1РА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5" w:type="dxa"/>
              <w:top w:w="0" w:type="dxa"/>
            </w:tcMar>
            <w:tcW w:w="2268" w:type="dxa"/>
            <w:textDirection w:val="lrTb"/>
            <w:noWrap w:val="false"/>
          </w:tcPr>
          <w:p>
            <w:pPr>
              <w:ind w:right="1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LSJA36E31NZ089886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5" w:type="dxa"/>
              <w:top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 5639 КВ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2021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1637/1260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7" w:type="dxa"/>
            <w:textDirection w:val="lrTb"/>
            <w:noWrap w:val="false"/>
          </w:tcPr>
          <w:p>
            <w:pPr>
              <w:ind w:left="-107" w:right="-108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 xml:space="preserve">1498</w:t>
            </w:r>
            <w:r/>
          </w:p>
        </w:tc>
      </w:tr>
      <w:tr>
        <w:trPr>
          <w:trHeight w:val="397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5" w:type="dxa"/>
              <w:top w:w="0" w:type="dxa"/>
            </w:tcMar>
            <w:tcW w:w="42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ascii="Times New Roman" w:hAnsi="Times New Roman" w:eastAsia="Times New Roman CYR" w:cs="Times New Roman"/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5" w:type="dxa"/>
              <w:top w:w="0" w:type="dxa"/>
            </w:tcMar>
            <w:tcW w:w="851" w:type="dxa"/>
            <w:vAlign w:val="center"/>
            <w:textDirection w:val="lrTb"/>
            <w:noWrap w:val="false"/>
          </w:tcPr>
          <w:p>
            <w:pPr>
              <w:ind w:right="14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MG 5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5" w:type="dxa"/>
              <w:top w:w="0" w:type="dxa"/>
            </w:tcMar>
            <w:tcW w:w="1559" w:type="dxa"/>
            <w:textDirection w:val="lrTb"/>
            <w:noWrap w:val="false"/>
          </w:tcPr>
          <w:p>
            <w:pPr>
              <w:ind w:right="14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АР31/1АА1РА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5" w:type="dxa"/>
              <w:top w:w="0" w:type="dxa"/>
            </w:tcMar>
            <w:tcW w:w="2268" w:type="dxa"/>
            <w:textDirection w:val="lrTb"/>
            <w:noWrap w:val="false"/>
          </w:tcPr>
          <w:p>
            <w:pPr>
              <w:ind w:right="1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LSJA36E31NZ087751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5" w:type="dxa"/>
              <w:top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vertAlign w:val="subscript"/>
              </w:rPr>
              <w:t xml:space="preserve">31</w:t>
            </w:r>
            <w:r>
              <w:rPr>
                <w:rFonts w:ascii="Times New Roman" w:hAnsi="Times New Roman" w:cs="Times New Roman"/>
              </w:rPr>
              <w:t xml:space="preserve"> 1112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2021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1637/1260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7" w:type="dxa"/>
            <w:textDirection w:val="lrTb"/>
            <w:noWrap w:val="false"/>
          </w:tcPr>
          <w:p>
            <w:pPr>
              <w:ind w:left="-107" w:right="-108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 xml:space="preserve">1498</w:t>
            </w:r>
            <w:r/>
          </w:p>
        </w:tc>
      </w:tr>
      <w:tr>
        <w:trPr>
          <w:trHeight w:val="397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5" w:type="dxa"/>
              <w:top w:w="0" w:type="dxa"/>
            </w:tcMar>
            <w:tcW w:w="42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ascii="Times New Roman" w:hAnsi="Times New Roman" w:eastAsia="Times New Roman CYR" w:cs="Times New Roman"/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5" w:type="dxa"/>
              <w:top w:w="0" w:type="dxa"/>
            </w:tcMar>
            <w:tcW w:w="851" w:type="dxa"/>
            <w:vAlign w:val="center"/>
            <w:textDirection w:val="lrTb"/>
            <w:noWrap w:val="false"/>
          </w:tcPr>
          <w:p>
            <w:pPr>
              <w:ind w:right="14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MG 5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5" w:type="dxa"/>
              <w:top w:w="0" w:type="dxa"/>
            </w:tcMar>
            <w:tcW w:w="1559" w:type="dxa"/>
            <w:textDirection w:val="lrTb"/>
            <w:noWrap w:val="false"/>
          </w:tcPr>
          <w:p>
            <w:pPr>
              <w:ind w:right="14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АР31/1АА1РА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5" w:type="dxa"/>
              <w:top w:w="0" w:type="dxa"/>
            </w:tcMar>
            <w:tcW w:w="2268" w:type="dxa"/>
            <w:textDirection w:val="lrTb"/>
            <w:noWrap w:val="false"/>
          </w:tcPr>
          <w:p>
            <w:pPr>
              <w:ind w:right="1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LSJA36E3XNZ089885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5" w:type="dxa"/>
              <w:top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vertAlign w:val="subscript"/>
              </w:rPr>
              <w:t xml:space="preserve">31 </w:t>
            </w:r>
            <w:r>
              <w:rPr>
                <w:rFonts w:ascii="Times New Roman" w:hAnsi="Times New Roman" w:cs="Times New Roman"/>
              </w:rPr>
              <w:t xml:space="preserve">1110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2021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1637/1260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7" w:type="dxa"/>
            <w:textDirection w:val="lrTb"/>
            <w:noWrap w:val="false"/>
          </w:tcPr>
          <w:p>
            <w:pPr>
              <w:ind w:left="-107" w:right="-108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 xml:space="preserve">1498</w:t>
            </w:r>
            <w:r/>
          </w:p>
        </w:tc>
      </w:tr>
      <w:tr>
        <w:trPr>
          <w:trHeight w:val="397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5" w:type="dxa"/>
              <w:top w:w="0" w:type="dxa"/>
            </w:tcMar>
            <w:tcW w:w="42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ascii="Times New Roman" w:hAnsi="Times New Roman" w:eastAsia="Times New Roman CYR" w:cs="Times New Roman"/>
              </w:rPr>
              <w:t xml:space="preserve">5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5" w:type="dxa"/>
              <w:top w:w="0" w:type="dxa"/>
            </w:tcMar>
            <w:tcW w:w="851" w:type="dxa"/>
            <w:vAlign w:val="center"/>
            <w:textDirection w:val="lrTb"/>
            <w:noWrap w:val="false"/>
          </w:tcPr>
          <w:p>
            <w:pPr>
              <w:ind w:right="14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MG 5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5" w:type="dxa"/>
              <w:top w:w="0" w:type="dxa"/>
            </w:tcMar>
            <w:tcW w:w="1559" w:type="dxa"/>
            <w:textDirection w:val="lrTb"/>
            <w:noWrap w:val="false"/>
          </w:tcPr>
          <w:p>
            <w:pPr>
              <w:ind w:right="14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АР31/1АА1РА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5" w:type="dxa"/>
              <w:top w:w="0" w:type="dxa"/>
            </w:tcMar>
            <w:tcW w:w="2268" w:type="dxa"/>
            <w:textDirection w:val="lrTb"/>
            <w:noWrap w:val="false"/>
          </w:tcPr>
          <w:p>
            <w:pPr>
              <w:ind w:right="1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LSJA36E39NZ050091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5" w:type="dxa"/>
              <w:top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 5634 КВ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2021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1637/1260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7" w:type="dxa"/>
            <w:textDirection w:val="lrTb"/>
            <w:noWrap w:val="false"/>
          </w:tcPr>
          <w:p>
            <w:pPr>
              <w:ind w:left="-107" w:right="-108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 xml:space="preserve">1498</w:t>
            </w:r>
            <w:r/>
          </w:p>
        </w:tc>
      </w:tr>
      <w:tr>
        <w:trPr>
          <w:trHeight w:val="397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5" w:type="dxa"/>
              <w:top w:w="0" w:type="dxa"/>
            </w:tcMar>
            <w:tcW w:w="42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ascii="Times New Roman" w:hAnsi="Times New Roman" w:eastAsia="Times New Roman CYR" w:cs="Times New Roman"/>
              </w:rPr>
              <w:t xml:space="preserve">6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5" w:type="dxa"/>
              <w:top w:w="0" w:type="dxa"/>
            </w:tcMar>
            <w:tcW w:w="851" w:type="dxa"/>
            <w:vAlign w:val="center"/>
            <w:textDirection w:val="lrTb"/>
            <w:noWrap w:val="false"/>
          </w:tcPr>
          <w:p>
            <w:pPr>
              <w:ind w:right="14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MG 5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5" w:type="dxa"/>
              <w:top w:w="0" w:type="dxa"/>
            </w:tcMar>
            <w:tcW w:w="1559" w:type="dxa"/>
            <w:textDirection w:val="lrTb"/>
            <w:noWrap w:val="false"/>
          </w:tcPr>
          <w:p>
            <w:pPr>
              <w:ind w:right="14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АР31/1АА1РА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5" w:type="dxa"/>
              <w:top w:w="0" w:type="dxa"/>
            </w:tcMar>
            <w:tcW w:w="2268" w:type="dxa"/>
            <w:textDirection w:val="lrTb"/>
            <w:noWrap w:val="false"/>
          </w:tcPr>
          <w:p>
            <w:pPr>
              <w:ind w:right="1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LSJA36E30NZ087689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5" w:type="dxa"/>
              <w:top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 5641 КВ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2021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1637/1260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7" w:type="dxa"/>
            <w:textDirection w:val="lrTb"/>
            <w:noWrap w:val="false"/>
          </w:tcPr>
          <w:p>
            <w:pPr>
              <w:ind w:left="-107" w:right="-108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 xml:space="preserve">1498</w:t>
            </w:r>
            <w:r/>
          </w:p>
        </w:tc>
      </w:tr>
      <w:tr>
        <w:trPr>
          <w:trHeight w:val="397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5" w:type="dxa"/>
              <w:top w:w="0" w:type="dxa"/>
            </w:tcMar>
            <w:tcW w:w="42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ascii="Times New Roman" w:hAnsi="Times New Roman" w:eastAsia="Times New Roman CYR" w:cs="Times New Roman"/>
              </w:rPr>
              <w:t xml:space="preserve">7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5" w:type="dxa"/>
              <w:top w:w="0" w:type="dxa"/>
            </w:tcMar>
            <w:tcW w:w="851" w:type="dxa"/>
            <w:vAlign w:val="center"/>
            <w:textDirection w:val="lrTb"/>
            <w:noWrap w:val="false"/>
          </w:tcPr>
          <w:p>
            <w:pPr>
              <w:ind w:right="14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MG 5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5" w:type="dxa"/>
              <w:top w:w="0" w:type="dxa"/>
            </w:tcMar>
            <w:tcW w:w="1559" w:type="dxa"/>
            <w:textDirection w:val="lrTb"/>
            <w:noWrap w:val="false"/>
          </w:tcPr>
          <w:p>
            <w:pPr>
              <w:ind w:right="14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АР31/1АА1РА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5" w:type="dxa"/>
              <w:top w:w="0" w:type="dxa"/>
            </w:tcMar>
            <w:tcW w:w="2268" w:type="dxa"/>
            <w:textDirection w:val="lrTb"/>
            <w:noWrap w:val="false"/>
          </w:tcPr>
          <w:p>
            <w:pPr>
              <w:ind w:right="1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LSJA36E38NZ087679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5" w:type="dxa"/>
              <w:top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 5642 КВ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2021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1637/1260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7" w:type="dxa"/>
            <w:textDirection w:val="lrTb"/>
            <w:noWrap w:val="false"/>
          </w:tcPr>
          <w:p>
            <w:pPr>
              <w:ind w:left="-107" w:right="-108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 xml:space="preserve">1498</w:t>
            </w:r>
            <w:r/>
          </w:p>
        </w:tc>
      </w:tr>
      <w:tr>
        <w:trPr>
          <w:trHeight w:val="397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5" w:type="dxa"/>
              <w:top w:w="0" w:type="dxa"/>
            </w:tcMar>
            <w:tcW w:w="42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 CYR" w:cs="Times New Roman"/>
              </w:rPr>
            </w:pPr>
            <w:r>
              <w:rPr>
                <w:rFonts w:ascii="Times New Roman" w:hAnsi="Times New Roman" w:eastAsia="Times New Roman CYR" w:cs="Times New Roman"/>
              </w:rPr>
              <w:t xml:space="preserve">8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5" w:type="dxa"/>
              <w:top w:w="0" w:type="dxa"/>
            </w:tcMar>
            <w:tcW w:w="851" w:type="dxa"/>
            <w:vAlign w:val="center"/>
            <w:textDirection w:val="lrTb"/>
            <w:noWrap w:val="false"/>
          </w:tcPr>
          <w:p>
            <w:pPr>
              <w:ind w:right="14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MG 5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5" w:type="dxa"/>
              <w:top w:w="0" w:type="dxa"/>
            </w:tcMar>
            <w:tcW w:w="1559" w:type="dxa"/>
            <w:textDirection w:val="lrTb"/>
            <w:noWrap w:val="false"/>
          </w:tcPr>
          <w:p>
            <w:pPr>
              <w:ind w:right="14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АР31/1АА1РА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5" w:type="dxa"/>
              <w:top w:w="0" w:type="dxa"/>
            </w:tcMar>
            <w:tcW w:w="2268" w:type="dxa"/>
            <w:textDirection w:val="lrTb"/>
            <w:noWrap w:val="false"/>
          </w:tcPr>
          <w:p>
            <w:pPr>
              <w:ind w:right="1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LSJA36E32NZ102578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5" w:type="dxa"/>
              <w:top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---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2021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1637/1260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7" w:type="dxa"/>
            <w:textDirection w:val="lrTb"/>
            <w:noWrap w:val="false"/>
          </w:tcPr>
          <w:p>
            <w:pPr>
              <w:ind w:left="-107" w:right="-108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 xml:space="preserve">1498</w:t>
            </w:r>
            <w:r/>
          </w:p>
        </w:tc>
      </w:tr>
    </w:tbl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/>
    </w:p>
    <w:p>
      <w:pPr>
        <w:jc w:val="center"/>
        <w:spacing w:line="240" w:lineRule="auto"/>
        <w:tabs>
          <w:tab w:val="left" w:pos="-142" w:leader="none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Технічні, якісні, кількісні та інші вимоги до предмета закупівлі</w:t>
      </w:r>
      <w:r/>
    </w:p>
    <w:p>
      <w:pPr>
        <w:pStyle w:val="668"/>
        <w:numPr>
          <w:ilvl w:val="0"/>
          <w:numId w:val="9"/>
        </w:numPr>
        <w:ind w:right="-143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  <w:lang w:val="uk-UA"/>
        </w:rPr>
        <w:outlineLvl w:val="2"/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Предмет закупівлі – послуги зі страхування транспортних засобів.</w:t>
      </w:r>
      <w:r/>
    </w:p>
    <w:p>
      <w:pPr>
        <w:pStyle w:val="668"/>
        <w:numPr>
          <w:ilvl w:val="0"/>
          <w:numId w:val="9"/>
        </w:numPr>
        <w:ind w:right="-143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  <w:lang w:val="uk-UA"/>
        </w:rPr>
        <w:outlineLvl w:val="2"/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Кількість страхових полісів – 8 шт. </w:t>
      </w:r>
      <w:r/>
    </w:p>
    <w:p>
      <w:pPr>
        <w:pStyle w:val="668"/>
        <w:numPr>
          <w:ilvl w:val="0"/>
          <w:numId w:val="9"/>
        </w:numPr>
        <w:ind w:right="-143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  <w:lang w:val="uk-UA"/>
        </w:rPr>
        <w:outlineLvl w:val="2"/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Строк дії страхового поліса – 1 рік.</w:t>
      </w:r>
      <w:r/>
    </w:p>
    <w:p>
      <w:pPr>
        <w:pStyle w:val="668"/>
        <w:numPr>
          <w:ilvl w:val="0"/>
          <w:numId w:val="9"/>
        </w:numPr>
        <w:ind w:right="-143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  <w:lang w:val="uk-UA"/>
        </w:rPr>
        <w:outlineLvl w:val="2"/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Оформлення полісів обов’язкового страхування з франшизою 0 (нуль) гривень.</w:t>
      </w:r>
      <w:r/>
    </w:p>
    <w:p>
      <w:pPr>
        <w:pStyle w:val="668"/>
        <w:numPr>
          <w:ilvl w:val="0"/>
          <w:numId w:val="9"/>
        </w:numPr>
        <w:ind w:right="-143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  <w:lang w:val="uk-UA"/>
        </w:rPr>
        <w:outlineLvl w:val="2"/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Обов’язкове представництво страховика у м. Києві.</w:t>
      </w:r>
      <w:r/>
    </w:p>
    <w:p>
      <w:pPr>
        <w:pStyle w:val="668"/>
        <w:numPr>
          <w:ilvl w:val="0"/>
          <w:numId w:val="9"/>
        </w:numPr>
        <w:ind w:right="-143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  <w:lang w:val="uk-UA"/>
        </w:rPr>
        <w:outlineLvl w:val="2"/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Оцінка страхової компанії від Моторно-Транспортного Бюро України за 3 квартал 2022 року на рівні «високий» за показниками:</w:t>
      </w:r>
      <w:r/>
    </w:p>
    <w:p>
      <w:pPr>
        <w:pStyle w:val="668"/>
        <w:numPr>
          <w:ilvl w:val="0"/>
          <w:numId w:val="10"/>
        </w:numPr>
        <w:ind w:right="-143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  <w:lang w:val="uk-UA"/>
        </w:rPr>
        <w:outlineLvl w:val="2"/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Загальна оцінка діяльності страховика;</w:t>
      </w:r>
      <w:r/>
    </w:p>
    <w:p>
      <w:pPr>
        <w:pStyle w:val="668"/>
        <w:numPr>
          <w:ilvl w:val="0"/>
          <w:numId w:val="10"/>
        </w:numPr>
        <w:ind w:right="-143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  <w:lang w:val="uk-UA"/>
        </w:rPr>
        <w:outlineLvl w:val="2"/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Якість врегулювання збитків;</w:t>
      </w:r>
      <w:r/>
    </w:p>
    <w:p>
      <w:pPr>
        <w:pStyle w:val="668"/>
        <w:numPr>
          <w:ilvl w:val="0"/>
          <w:numId w:val="10"/>
        </w:numPr>
        <w:ind w:right="-143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  <w:lang w:val="uk-UA"/>
        </w:rPr>
        <w:outlineLvl w:val="2"/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Рівень скарг від потерпілих та страхувальників.</w:t>
      </w:r>
      <w:r/>
    </w:p>
    <w:p>
      <w:pPr>
        <w:pStyle w:val="668"/>
        <w:numPr>
          <w:ilvl w:val="0"/>
          <w:numId w:val="9"/>
        </w:numPr>
        <w:ind w:right="-143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  <w:lang w:val="uk-UA"/>
        </w:rPr>
        <w:outlineLvl w:val="2"/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Рівень виплат має бути не менше 40 % за 6 місяців 2022 року.</w:t>
      </w:r>
      <w:r/>
    </w:p>
    <w:p>
      <w:pPr>
        <w:pStyle w:val="668"/>
        <w:numPr>
          <w:ilvl w:val="0"/>
          <w:numId w:val="9"/>
        </w:numPr>
        <w:ind w:right="-143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  <w:lang w:val="uk-UA"/>
        </w:rPr>
        <w:outlineLvl w:val="2"/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Входження в ТОП 10 страхових компаній України  за показниками: «Страхові платежі» та «Страхові виплати» по ОСЦПВВНТЗ за 6 місяців 2022 року.</w:t>
      </w:r>
      <w:r/>
    </w:p>
    <w:p>
      <w:pPr>
        <w:pStyle w:val="668"/>
        <w:numPr>
          <w:ilvl w:val="0"/>
          <w:numId w:val="9"/>
        </w:numPr>
        <w:ind w:right="-143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  <w:lang w:val="uk-UA"/>
        </w:rPr>
        <w:outlineLvl w:val="2"/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Частка вимог за шкоду майну, врегульованих до 90 днів від дати ДТП до останньої виплати складає не менше 70% за 3 квартал 2022 року згідно даних МТСБУ.</w:t>
      </w:r>
      <w:r/>
    </w:p>
    <w:p>
      <w:pPr>
        <w:pStyle w:val="668"/>
        <w:numPr>
          <w:ilvl w:val="0"/>
          <w:numId w:val="9"/>
        </w:numPr>
        <w:ind w:right="-143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  <w:lang w:val="uk-UA"/>
        </w:rPr>
        <w:outlineLvl w:val="2"/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Статутний капітал не нижче 100 млн. грн.</w:t>
      </w:r>
      <w:r/>
    </w:p>
    <w:p>
      <w:pPr>
        <w:pStyle w:val="668"/>
        <w:numPr>
          <w:ilvl w:val="0"/>
          <w:numId w:val="9"/>
        </w:numPr>
        <w:ind w:right="-143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  <w:lang w:val="uk-UA"/>
        </w:rPr>
        <w:outlineLvl w:val="2"/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Досвід страхування – не менше 10 років.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5. Обґрунтування розміру бюджетного призначення: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розмір бюджетного призначення визначено Законом України «Про Державний бюджет України на 2023 рік» за КПКВК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1001050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«Реалізація державної політики у сфері внутрішніх справ, забезпечення виконання завдань і функцій органів, установ та закладів Міністерства внутрішніх справ України» відповідно до бюджетного запиту на 2023 рік.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6. Очікувана вартість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19 552,00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грн.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дев’ятнадцять тисяч п’ятсот п’ятдесят дві гривні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00 коп.) з ПДВ.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7. Обґрунтування очікуваної вартості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Очікувана вартість визначена відповідно до частини 1 та 2 пункту 1 Розділу ІІІ «Методи визначення очікуваної вартості» Примірної методики визначення очікува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ної вартості предмета закупівлі затвердженої Наказом Міністерства розвитку економіки, торгівлі та сільського господарства України 18.02.2020 № 275 та розрахована, як середньоарифметичне значення масиву отриманих даних, що розраховується за такою формулою: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Цод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= (Ц1 +… +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/ К.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8. Процедура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Застосовується процедура відкритих торгів з особливостями.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709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4"/>
      <w:rPr>
        <w:sz w:val="8"/>
      </w:rPr>
    </w:pPr>
    <w:r>
      <w:rPr>
        <w:sz w:val="8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80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space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2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space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0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716" w:hanging="360"/>
      </w:pPr>
      <w:rPr>
        <w:rFonts w:hint="default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2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4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6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32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88" w:hanging="1440"/>
      </w:pPr>
      <w:rPr>
        <w:rFonts w:hint="default"/>
        <w:u w:val="none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583" w:hanging="405"/>
      </w:pPr>
      <w:rPr>
        <w:rFonts w:hint="default"/>
      </w:rPr>
    </w:lvl>
    <w:lvl w:ilvl="2">
      <w:start w:val="4"/>
      <w:numFmt w:val="decimal"/>
      <w:isLgl w:val="false"/>
      <w:suff w:val="space"/>
      <w:lvlText w:val="%1.%2.%3"/>
      <w:lvlJc w:val="left"/>
      <w:pPr>
        <w:ind w:left="1076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32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4" w:hanging="144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7"/>
  </w:num>
  <w:num w:numId="7">
    <w:abstractNumId w:val="3"/>
  </w:num>
  <w:num w:numId="8">
    <w:abstractNumId w:val="9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664"/>
    <w:next w:val="664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665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664"/>
    <w:next w:val="664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665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664"/>
    <w:next w:val="664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665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664"/>
    <w:next w:val="664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665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664"/>
    <w:next w:val="664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665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664"/>
    <w:next w:val="664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665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664"/>
    <w:next w:val="664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665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664"/>
    <w:next w:val="664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665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664"/>
    <w:next w:val="664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665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2">
    <w:name w:val="No Spacing"/>
    <w:uiPriority w:val="1"/>
    <w:qFormat/>
    <w:pPr>
      <w:spacing w:before="0" w:after="0" w:line="240" w:lineRule="auto"/>
    </w:pPr>
  </w:style>
  <w:style w:type="paragraph" w:styleId="33">
    <w:name w:val="Title"/>
    <w:basedOn w:val="664"/>
    <w:next w:val="664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665"/>
    <w:link w:val="33"/>
    <w:uiPriority w:val="10"/>
    <w:rPr>
      <w:sz w:val="48"/>
      <w:szCs w:val="48"/>
    </w:rPr>
  </w:style>
  <w:style w:type="paragraph" w:styleId="35">
    <w:name w:val="Subtitle"/>
    <w:basedOn w:val="664"/>
    <w:next w:val="664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665"/>
    <w:link w:val="35"/>
    <w:uiPriority w:val="11"/>
    <w:rPr>
      <w:sz w:val="24"/>
      <w:szCs w:val="24"/>
    </w:rPr>
  </w:style>
  <w:style w:type="paragraph" w:styleId="37">
    <w:name w:val="Quote"/>
    <w:basedOn w:val="664"/>
    <w:next w:val="664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64"/>
    <w:next w:val="664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664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665"/>
    <w:link w:val="41"/>
    <w:uiPriority w:val="99"/>
  </w:style>
  <w:style w:type="character" w:styleId="44">
    <w:name w:val="Footer Char"/>
    <w:basedOn w:val="665"/>
    <w:link w:val="674"/>
    <w:uiPriority w:val="99"/>
  </w:style>
  <w:style w:type="paragraph" w:styleId="45">
    <w:name w:val="Caption"/>
    <w:basedOn w:val="664"/>
    <w:next w:val="66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674"/>
    <w:uiPriority w:val="99"/>
  </w:style>
  <w:style w:type="table" w:styleId="48">
    <w:name w:val="Table Grid Light"/>
    <w:basedOn w:val="66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6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6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6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6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6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6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6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6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6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6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6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6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6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6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664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665"/>
    <w:uiPriority w:val="99"/>
    <w:unhideWhenUsed/>
    <w:rPr>
      <w:vertAlign w:val="superscript"/>
    </w:rPr>
  </w:style>
  <w:style w:type="paragraph" w:styleId="177">
    <w:name w:val="endnote text"/>
    <w:basedOn w:val="664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665"/>
    <w:uiPriority w:val="99"/>
    <w:semiHidden/>
    <w:unhideWhenUsed/>
    <w:rPr>
      <w:vertAlign w:val="superscript"/>
    </w:rPr>
  </w:style>
  <w:style w:type="paragraph" w:styleId="180">
    <w:name w:val="toc 1"/>
    <w:basedOn w:val="664"/>
    <w:next w:val="664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664"/>
    <w:next w:val="664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664"/>
    <w:next w:val="664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664"/>
    <w:next w:val="664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664"/>
    <w:next w:val="664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664"/>
    <w:next w:val="664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664"/>
    <w:next w:val="664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664"/>
    <w:next w:val="664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664"/>
    <w:next w:val="664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664"/>
    <w:next w:val="664"/>
    <w:uiPriority w:val="99"/>
    <w:unhideWhenUsed/>
    <w:pPr>
      <w:spacing w:after="0" w:afterAutospacing="0"/>
    </w:pPr>
  </w:style>
  <w:style w:type="paragraph" w:styleId="664" w:default="1">
    <w:name w:val="Normal"/>
    <w:qFormat/>
    <w:rPr>
      <w:lang w:val="uk-UA"/>
    </w:rPr>
  </w:style>
  <w:style w:type="character" w:styleId="665" w:default="1">
    <w:name w:val="Default Paragraph Font"/>
    <w:uiPriority w:val="1"/>
    <w:semiHidden/>
    <w:unhideWhenUsed/>
  </w:style>
  <w:style w:type="table" w:styleId="66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7" w:default="1">
    <w:name w:val="No List"/>
    <w:uiPriority w:val="99"/>
    <w:semiHidden/>
    <w:unhideWhenUsed/>
  </w:style>
  <w:style w:type="paragraph" w:styleId="668">
    <w:name w:val="List Paragraph"/>
    <w:basedOn w:val="664"/>
    <w:link w:val="669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Calibri"/>
      <w:lang w:val="ru-RU" w:eastAsia="zh-CN"/>
    </w:rPr>
  </w:style>
  <w:style w:type="character" w:styleId="669" w:customStyle="1">
    <w:name w:val="Абзац списка Знак"/>
    <w:link w:val="668"/>
    <w:uiPriority w:val="34"/>
    <w:rPr>
      <w:rFonts w:ascii="Calibri" w:hAnsi="Calibri" w:eastAsia="Calibri" w:cs="Calibri"/>
      <w:lang w:eastAsia="zh-CN"/>
    </w:rPr>
  </w:style>
  <w:style w:type="table" w:styleId="670">
    <w:name w:val="Table Grid"/>
    <w:basedOn w:val="666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71" w:customStyle="1">
    <w:name w:val="Сетка таблицы2"/>
    <w:basedOn w:val="666"/>
    <w:next w:val="670"/>
    <w:uiPriority w:val="3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72">
    <w:name w:val="Normal (Web)"/>
    <w:basedOn w:val="664"/>
    <w:uiPriority w:val="99"/>
    <w:semiHidden/>
    <w:unhideWhenUsed/>
    <w:rPr>
      <w:rFonts w:ascii="Times New Roman" w:hAnsi="Times New Roman" w:cs="Times New Roman"/>
      <w:sz w:val="24"/>
      <w:szCs w:val="24"/>
    </w:rPr>
  </w:style>
  <w:style w:type="table" w:styleId="673" w:customStyle="1">
    <w:name w:val="Сетка таблицы1"/>
    <w:basedOn w:val="666"/>
    <w:next w:val="670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74">
    <w:name w:val="Footer"/>
    <w:basedOn w:val="664"/>
    <w:link w:val="675"/>
    <w:uiPriority w:val="99"/>
    <w:unhideWhenUsed/>
    <w:pPr>
      <w:spacing w:after="0" w:line="240" w:lineRule="auto"/>
      <w:tabs>
        <w:tab w:val="center" w:pos="4819" w:leader="none"/>
        <w:tab w:val="right" w:pos="9639" w:leader="none"/>
      </w:tabs>
    </w:pPr>
    <w:rPr>
      <w:rFonts w:ascii="Calibri" w:hAnsi="Calibri" w:eastAsia="Calibri" w:cs="Calibri"/>
      <w:lang w:val="ru-RU" w:eastAsia="zh-CN"/>
    </w:rPr>
  </w:style>
  <w:style w:type="character" w:styleId="675" w:customStyle="1">
    <w:name w:val="Нижний колонтитул Знак"/>
    <w:basedOn w:val="665"/>
    <w:link w:val="674"/>
    <w:uiPriority w:val="99"/>
    <w:rPr>
      <w:rFonts w:ascii="Calibri" w:hAnsi="Calibri" w:eastAsia="Calibri" w:cs="Calibri"/>
      <w:lang w:eastAsia="zh-C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BF39E2-C518-490F-BFEA-0A7F1D0EC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ONLYOFFICE/7.2.2.56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ВЮС 2</dc:creator>
  <cp:keywords/>
  <dc:description/>
  <cp:lastModifiedBy>Єфіменко Олександр Анатолійович</cp:lastModifiedBy>
  <cp:revision>36</cp:revision>
  <dcterms:created xsi:type="dcterms:W3CDTF">2022-11-01T12:47:00Z</dcterms:created>
  <dcterms:modified xsi:type="dcterms:W3CDTF">2023-01-30T16:19:53Z</dcterms:modified>
</cp:coreProperties>
</file>