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34"/>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Послуги з технічного обслуговування – комплексу організаційних та технічних заходів, пов'язаних із забезпеченням працездатного стану «Програмно-апаратних комплексів автоматичної фото-/</w:t>
      </w:r>
      <w:r>
        <w:rPr>
          <w:b w:val="0"/>
          <w:bCs w:val="0"/>
          <w:sz w:val="24"/>
          <w:szCs w:val="24"/>
        </w:rPr>
        <w:t xml:space="preserve">відеофіксації</w:t>
      </w:r>
      <w:r>
        <w:rPr>
          <w:b w:val="0"/>
          <w:bCs w:val="0"/>
          <w:sz w:val="24"/>
          <w:szCs w:val="24"/>
        </w:rPr>
        <w:t xml:space="preserve"> правопорушень у сфері безпеки дорожнього руху» «HOAG-50/1» </w:t>
      </w:r>
      <w:r>
        <w:rPr>
          <w:b w:val="0"/>
          <w:bCs w:val="0"/>
          <w:sz w:val="24"/>
          <w:szCs w:val="24"/>
          <w:lang w:eastAsia="ru-RU"/>
        </w:rPr>
        <w:t xml:space="preserve">за кодом CPV за ЄЗС ДК 021:2015: 50410000-2 Послуги з ремонту і технічного обслуговування вимірювальних, випробувальних і контрольних приладів</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26</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7222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sz w:val="24"/>
          <w:szCs w:val="24"/>
        </w:rPr>
        <w:t xml:space="preserve">Послуги з технічного обслуговування – комплексу організаційних та технічних заходів, пов'язаних із забезпеченням працездатного стану «Програмно-апаратних комплексів автоматичної фото-/</w:t>
      </w:r>
      <w:r>
        <w:rPr>
          <w:rFonts w:ascii="Times New Roman" w:hAnsi="Times New Roman" w:cs="Times New Roman"/>
          <w:sz w:val="24"/>
          <w:szCs w:val="24"/>
        </w:rPr>
        <w:t xml:space="preserve">відеофіксації</w:t>
      </w:r>
      <w:r>
        <w:rPr>
          <w:rFonts w:ascii="Times New Roman" w:hAnsi="Times New Roman" w:cs="Times New Roman"/>
          <w:sz w:val="24"/>
          <w:szCs w:val="24"/>
        </w:rPr>
        <w:t xml:space="preserve"> правопорушень у сфері безпеки дорожнього руху» «HOAG-50/1» </w:t>
      </w:r>
      <w:r>
        <w:rPr>
          <w:rFonts w:ascii="Times New Roman" w:hAnsi="Times New Roman" w:cs="Times New Roman"/>
          <w:sz w:val="24"/>
          <w:szCs w:val="24"/>
          <w:lang w:eastAsia="ru-RU"/>
        </w:rPr>
        <w:t xml:space="preserve">за кодом CPV за ЄЗС ДК 021:2015: 50410000-2 Послуги з ремонту і технічного обслуговування вимірювальних, випробувальних і контрольних приладів</w:t>
      </w:r>
      <w:r/>
    </w:p>
    <w:p>
      <w:pPr>
        <w:jc w:val="both"/>
        <w:rPr>
          <w:rFonts w:eastAsia="Calibri"/>
          <w:u w:val="single"/>
        </w:rPr>
      </w:pPr>
      <w:r>
        <w:rPr>
          <w:rFonts w:eastAsia="Calibri"/>
          <w:u w:val="single"/>
        </w:rPr>
      </w:r>
      <w:r/>
    </w:p>
    <w:tbl>
      <w:tblPr>
        <w:tblW w:w="1008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864"/>
        <w:gridCol w:w="5085"/>
        <w:gridCol w:w="1254"/>
        <w:gridCol w:w="1439"/>
        <w:gridCol w:w="1439"/>
      </w:tblGrid>
      <w:tr>
        <w:trPr>
          <w:trHeight w:val="387"/>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 п/п</w:t>
            </w:r>
            <w:r/>
          </w:p>
        </w:tc>
        <w:tc>
          <w:tcPr>
            <w:tcBorders>
              <w:top w:val="single" w:color="000000" w:sz="4" w:space="0"/>
              <w:left w:val="single" w:color="000000" w:sz="4" w:space="0"/>
              <w:bottom w:val="single" w:color="000000" w:sz="4" w:space="0"/>
              <w:right w:val="single" w:color="000000" w:sz="4" w:space="0"/>
            </w:tcBorders>
            <w:tcW w:w="5085"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Найменування робіт і витрат</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Одиниця виміру</w:t>
            </w:r>
            <w:r/>
          </w:p>
        </w:tc>
        <w:tc>
          <w:tcPr>
            <w:tcBorders>
              <w:top w:val="single" w:color="000000" w:sz="4" w:space="0"/>
              <w:left w:val="single" w:color="000000" w:sz="4" w:space="0"/>
              <w:bottom w:val="single" w:color="000000" w:sz="4" w:space="0"/>
              <w:right w:val="single" w:color="000000" w:sz="4" w:space="0"/>
            </w:tcBorders>
            <w:tcW w:w="1439" w:type="dxa"/>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приладів контролю, </w:t>
            </w:r>
            <w:r>
              <w:rPr>
                <w:rFonts w:ascii="Times New Roman" w:hAnsi="Times New Roman" w:cs="Times New Roman"/>
                <w:b/>
                <w:bCs/>
                <w:sz w:val="24"/>
                <w:szCs w:val="24"/>
              </w:rPr>
              <w:t xml:space="preserve">шт</w:t>
            </w:r>
            <w:r/>
          </w:p>
        </w:tc>
        <w:tc>
          <w:tcPr>
            <w:tcBorders>
              <w:top w:val="single" w:color="000000" w:sz="4" w:space="0"/>
              <w:left w:val="single" w:color="000000" w:sz="4" w:space="0"/>
              <w:bottom w:val="single" w:color="000000" w:sz="4" w:space="0"/>
              <w:right w:val="single" w:color="000000" w:sz="4" w:space="0"/>
            </w:tcBorders>
            <w:tcW w:w="143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Кількість послуг</w:t>
            </w:r>
            <w:r/>
          </w:p>
        </w:tc>
      </w:tr>
      <w:tr>
        <w:trPr>
          <w:trHeight w:val="391"/>
        </w:trPr>
        <w:tc>
          <w:tcPr>
            <w:tcBorders>
              <w:top w:val="single" w:color="000000" w:sz="4" w:space="0"/>
              <w:left w:val="single" w:color="000000" w:sz="4" w:space="0"/>
              <w:bottom w:val="single" w:color="000000" w:sz="4" w:space="0"/>
              <w:right w:val="single" w:color="000000" w:sz="4" w:space="0"/>
            </w:tcBorders>
            <w:tcW w:w="864" w:type="dxa"/>
            <w:vAlign w:val="center"/>
            <w:textDirection w:val="lrTb"/>
            <w:noWrap w:val="false"/>
          </w:tcPr>
          <w:p>
            <w:pPr>
              <w:jc w:val="center"/>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1</w:t>
            </w:r>
            <w:r/>
          </w:p>
        </w:tc>
        <w:tc>
          <w:tcPr>
            <w:tcBorders>
              <w:top w:val="single" w:color="000000" w:sz="4" w:space="0"/>
              <w:left w:val="single" w:color="000000" w:sz="4" w:space="0"/>
              <w:bottom w:val="single" w:color="000000" w:sz="4" w:space="0"/>
              <w:right w:val="single" w:color="000000" w:sz="4" w:space="0"/>
            </w:tcBorders>
            <w:tcW w:w="5085" w:type="dxa"/>
            <w:vAlign w:val="center"/>
            <w:textDirection w:val="lrTb"/>
            <w:noWrap w:val="false"/>
          </w:tcPr>
          <w:p>
            <w:pPr>
              <w:jc w:val="both"/>
              <w:spacing w:after="0" w:line="240" w:lineRule="auto"/>
              <w:rPr>
                <w:rFonts w:ascii="Times New Roman" w:hAnsi="Times New Roman" w:cs="Times New Roman"/>
                <w:sz w:val="24"/>
                <w:szCs w:val="24"/>
              </w:rPr>
            </w:pPr>
            <w:r>
              <w:rPr>
                <w:rFonts w:ascii="Times New Roman" w:hAnsi="Times New Roman" w:cs="Times New Roman"/>
                <w:b/>
                <w:sz w:val="24"/>
                <w:szCs w:val="24"/>
                <w:lang w:eastAsia="uk-UA"/>
              </w:rPr>
              <w:t xml:space="preserve">Технічне обслуговування – комплекс організаційних та технічних заходів, пов'язаних із забезпеченням працездатного стану «Програмно-апаратних комплексів автоматичної фото-/</w:t>
            </w:r>
            <w:r>
              <w:rPr>
                <w:rFonts w:ascii="Times New Roman" w:hAnsi="Times New Roman" w:cs="Times New Roman"/>
                <w:b/>
                <w:sz w:val="24"/>
                <w:szCs w:val="24"/>
                <w:lang w:eastAsia="uk-UA"/>
              </w:rPr>
              <w:t xml:space="preserve">відеофіксації</w:t>
            </w:r>
            <w:r>
              <w:rPr>
                <w:rFonts w:ascii="Times New Roman" w:hAnsi="Times New Roman" w:cs="Times New Roman"/>
                <w:b/>
                <w:sz w:val="24"/>
                <w:szCs w:val="24"/>
                <w:lang w:eastAsia="uk-UA"/>
              </w:rPr>
              <w:t xml:space="preserve"> правопорушень у сфері безпеки дорожнього руху» «HOAG-50/1»</w:t>
            </w:r>
            <w:r/>
          </w:p>
        </w:tc>
        <w:tc>
          <w:tcPr>
            <w:tcBorders>
              <w:top w:val="single" w:color="000000" w:sz="4" w:space="0"/>
              <w:left w:val="single" w:color="000000" w:sz="4" w:space="0"/>
              <w:bottom w:val="single" w:color="000000" w:sz="4" w:space="0"/>
              <w:right w:val="single" w:color="000000" w:sz="4" w:space="0"/>
            </w:tcBorders>
            <w:tcW w:w="1254"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послуга</w:t>
            </w:r>
            <w:r/>
          </w:p>
        </w:tc>
        <w:tc>
          <w:tcPr>
            <w:tcBorders>
              <w:top w:val="single" w:color="000000" w:sz="4" w:space="0"/>
              <w:left w:val="single" w:color="000000" w:sz="4" w:space="0"/>
              <w:bottom w:val="single" w:color="000000" w:sz="4" w:space="0"/>
              <w:right w:val="single" w:color="000000" w:sz="4" w:space="0"/>
            </w:tcBorders>
            <w:tcW w:w="1439" w:type="dxa"/>
            <w:vAlign w:val="center"/>
            <w:textDirection w:val="lrTb"/>
            <w:noWrap w:val="false"/>
          </w:tcPr>
          <w:p>
            <w:pPr>
              <w:jc w:val="center"/>
              <w:spacing w:after="0" w:line="240" w:lineRule="auto"/>
              <w:rPr>
                <w:rFonts w:ascii="Times New Roman" w:hAnsi="Times New Roman" w:cs="Times New Roman"/>
                <w:b/>
                <w:bCs/>
                <w:sz w:val="24"/>
                <w:szCs w:val="24"/>
              </w:rPr>
            </w:pPr>
            <w:r>
              <w:rPr>
                <w:rFonts w:ascii="Times New Roman" w:hAnsi="Times New Roman" w:cs="Times New Roman"/>
                <w:b/>
                <w:sz w:val="24"/>
                <w:szCs w:val="24"/>
              </w:rPr>
              <w:t xml:space="preserve">20</w:t>
            </w:r>
            <w:r/>
          </w:p>
        </w:tc>
        <w:tc>
          <w:tcPr>
            <w:tcBorders>
              <w:top w:val="single" w:color="000000" w:sz="4" w:space="0"/>
              <w:left w:val="single" w:color="000000" w:sz="4" w:space="0"/>
              <w:bottom w:val="single" w:color="000000" w:sz="4" w:space="0"/>
              <w:right w:val="single" w:color="000000" w:sz="4" w:space="0"/>
            </w:tcBorders>
            <w:tcW w:w="1439" w:type="dxa"/>
            <w:vAlign w:val="center"/>
            <w:textDirection w:val="lrTb"/>
            <w:noWrap w:val="false"/>
          </w:tcPr>
          <w:p>
            <w:pPr>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6</w:t>
            </w:r>
            <w:r/>
          </w:p>
        </w:tc>
      </w:tr>
    </w:tbl>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numPr>
          <w:ilvl w:val="0"/>
          <w:numId w:val="42"/>
        </w:numPr>
        <w:contextualSpacing/>
        <w:jc w:val="center"/>
        <w:spacing w:after="0" w:line="240" w:lineRule="auto"/>
        <w:rPr>
          <w:rFonts w:ascii="Times New Roman" w:hAnsi="Times New Roman" w:eastAsia="Calibri" w:cs="Times New Roman"/>
          <w:b/>
          <w:sz w:val="24"/>
          <w:szCs w:val="24"/>
        </w:rPr>
      </w:pPr>
      <w:r>
        <w:rPr>
          <w:rFonts w:ascii="Times New Roman" w:hAnsi="Times New Roman" w:eastAsia="Calibri" w:cs="Times New Roman"/>
          <w:b/>
          <w:sz w:val="24"/>
          <w:szCs w:val="24"/>
        </w:rPr>
        <w:t xml:space="preserve">Загальна інформація.</w:t>
      </w:r>
      <w:r/>
    </w:p>
    <w:p>
      <w:pPr>
        <w:contextualSpacing/>
        <w:ind w:firstLine="709"/>
        <w:jc w:val="both"/>
        <w:spacing w:after="0" w:line="240" w:lineRule="auto"/>
        <w:rPr>
          <w:rFonts w:ascii="Times New Roman" w:hAnsi="Times New Roman" w:eastAsia="Calibri" w:cs="Times New Roman"/>
          <w:bCs/>
          <w:sz w:val="24"/>
          <w:szCs w:val="24"/>
        </w:rPr>
      </w:pPr>
      <w:r>
        <w:rPr>
          <w:rFonts w:ascii="Times New Roman" w:hAnsi="Times New Roman" w:eastAsia="Calibri" w:cs="Times New Roman"/>
          <w:bCs/>
          <w:sz w:val="24"/>
          <w:szCs w:val="24"/>
        </w:rPr>
        <w:t xml:space="preserve">Предметом закупівлі є послуги з технічного обслуговування – комплексу організаційних та технічних заходів, пов'язаних із забезпеченням працездатного стану «Програмно-апаратних комплексів автоматичної фото-/</w:t>
      </w:r>
      <w:r>
        <w:rPr>
          <w:rFonts w:ascii="Times New Roman" w:hAnsi="Times New Roman" w:eastAsia="Calibri" w:cs="Times New Roman"/>
          <w:bCs/>
          <w:sz w:val="24"/>
          <w:szCs w:val="24"/>
        </w:rPr>
        <w:t xml:space="preserve">відеофіксації</w:t>
      </w:r>
      <w:r>
        <w:rPr>
          <w:rFonts w:ascii="Times New Roman" w:hAnsi="Times New Roman" w:eastAsia="Calibri" w:cs="Times New Roman"/>
          <w:bCs/>
          <w:sz w:val="24"/>
          <w:szCs w:val="24"/>
        </w:rPr>
        <w:t xml:space="preserve"> правопорушень у сфері безпеки дорожнього руху» (далі – Комплекс) «HOAG-50/1», які здійснюються шляхом виконання робіт з обслуговування відповідно до експлуатаційної докумен</w:t>
      </w:r>
      <w:r>
        <w:rPr>
          <w:rFonts w:ascii="Times New Roman" w:hAnsi="Times New Roman" w:eastAsia="Calibri" w:cs="Times New Roman"/>
          <w:bCs/>
          <w:sz w:val="24"/>
          <w:szCs w:val="24"/>
        </w:rPr>
        <w:t xml:space="preserve">тації та згідно «Порядку технічної експлуатації системи фіксації адміністративних правопорушень у сфері забезпечення безпеки дорожнього руху в автоматичному режимі», затвердженого наказом Міністерства внутрішніх справ України від 06 квітня 2020 року № 326.</w:t>
      </w:r>
      <w:r/>
    </w:p>
    <w:p>
      <w:pPr>
        <w:ind w:firstLine="720"/>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Комплекс забезпечує в автоматичному режимі фотозйомку та відеозапис подій, що містять ознаки адміністративних правопорушень у сфері забезпечення безпеки дорожнього </w:t>
      </w:r>
      <w:r>
        <w:rPr>
          <w:rFonts w:ascii="Times New Roman" w:hAnsi="Times New Roman" w:cs="Times New Roman"/>
          <w:sz w:val="24"/>
          <w:szCs w:val="24"/>
          <w:lang w:eastAsia="uk-UA"/>
        </w:rPr>
        <w:t xml:space="preserve">руху, розпізнавання номерних знаків транспортних засобів та передачу інформації про зафіксовані події комунікаційними мережами до автоматизованої системи обробки даних МВС.</w:t>
      </w:r>
      <w:r/>
    </w:p>
    <w:p>
      <w:pPr>
        <w:ind w:firstLine="720"/>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Технічні обслуговування проводяться з метою підтримання працездатного стану Комплексів в робочі дні з 09:00 до 18:00, у вихідні дні з 09:00 до 16:00.</w:t>
      </w:r>
      <w:r/>
    </w:p>
    <w:p>
      <w:pPr>
        <w:ind w:firstLine="720"/>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r>
      <w:r/>
    </w:p>
    <w:p>
      <w:pPr>
        <w:contextualSpacing/>
        <w:ind w:left="567"/>
        <w:jc w:val="both"/>
        <w:spacing w:after="0" w:line="240" w:lineRule="auto"/>
        <w:rPr>
          <w:rFonts w:ascii="Times New Roman" w:hAnsi="Times New Roman" w:eastAsia="Calibri" w:cs="Times New Roman"/>
          <w:i/>
          <w:sz w:val="24"/>
          <w:szCs w:val="24"/>
        </w:rPr>
      </w:pPr>
      <w:r>
        <w:rPr>
          <w:rFonts w:ascii="Times New Roman" w:hAnsi="Times New Roman" w:eastAsia="Calibri" w:cs="Times New Roman"/>
          <w:b/>
          <w:sz w:val="24"/>
          <w:szCs w:val="24"/>
        </w:rPr>
        <w:t xml:space="preserve">2. Місця розташування та кількість Комплексів «HOAG-50/1», що підлягають технічному обслуговуванню:</w:t>
      </w:r>
      <w:r/>
    </w:p>
    <w:tbl>
      <w:tblPr>
        <w:tblW w:w="96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128"/>
        <w:gridCol w:w="6945"/>
        <w:gridCol w:w="1556"/>
      </w:tblGrid>
      <w:tr>
        <w:trPr>
          <w:trHeight w:val="300"/>
        </w:trPr>
        <w:tc>
          <w:tcPr>
            <w:shd w:val="clear" w:color="auto" w:fill="auto"/>
            <w:tcW w:w="1128" w:type="dxa"/>
            <w:vAlign w:val="center"/>
            <w:textDirection w:val="lrTb"/>
            <w:noWrap w:val="false"/>
          </w:tcPr>
          <w:p>
            <w:pPr>
              <w:jc w:val="center"/>
              <w:spacing w:after="0" w:line="240" w:lineRule="auto"/>
              <w:rPr>
                <w:rFonts w:ascii="Times New Roman" w:hAnsi="Times New Roman" w:cs="Times New Roman"/>
                <w:b/>
                <w:bCs/>
                <w:sz w:val="24"/>
                <w:szCs w:val="24"/>
                <w:lang w:eastAsia="uk-UA"/>
              </w:rPr>
            </w:pPr>
            <w:r/>
            <w:bookmarkStart w:id="0" w:name="_ix7pg7m7aggh"/>
            <w:r/>
            <w:bookmarkEnd w:id="0"/>
            <w:r>
              <w:rPr>
                <w:rFonts w:ascii="Times New Roman" w:hAnsi="Times New Roman" w:cs="Times New Roman"/>
                <w:b/>
                <w:bCs/>
                <w:sz w:val="24"/>
                <w:szCs w:val="24"/>
                <w:lang w:eastAsia="uk-UA"/>
              </w:rPr>
              <w:t xml:space="preserve">№ п/п</w:t>
            </w:r>
            <w:r/>
          </w:p>
        </w:tc>
        <w:tc>
          <w:tcPr>
            <w:shd w:val="clear" w:color="auto" w:fill="auto"/>
            <w:tcW w:w="6945" w:type="dxa"/>
            <w:vAlign w:val="center"/>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Адреса встановлення</w:t>
            </w:r>
            <w:r/>
          </w:p>
        </w:tc>
        <w:tc>
          <w:tcPr>
            <w:shd w:val="clear" w:color="auto" w:fill="auto"/>
            <w:tcW w:w="1556" w:type="dxa"/>
            <w:textDirection w:val="lrTb"/>
            <w:noWrap w:val="false"/>
          </w:tcPr>
          <w:p>
            <w:pPr>
              <w:jc w:val="center"/>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t xml:space="preserve">Кількість</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Кривий Ріг, вул. Нікопольське шосе, 22 (у напрямку вул. 21-ї бригади Національної гвардії)</w:t>
            </w:r>
            <w:r/>
          </w:p>
        </w:tc>
        <w:tc>
          <w:tcPr>
            <w:shd w:val="clear" w:color="auto" w:fill="auto"/>
            <w:tcW w:w="1556"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Кривий Ріг, вул. Нікопольське шосе, 22 (у напрямку Дніпровського шосе)</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Кривий Ріг, </w:t>
            </w:r>
            <w:r>
              <w:rPr>
                <w:rFonts w:ascii="Times New Roman" w:hAnsi="Times New Roman" w:cs="Times New Roman"/>
                <w:sz w:val="24"/>
                <w:szCs w:val="24"/>
                <w:lang w:eastAsia="uk-UA"/>
              </w:rPr>
              <w:t xml:space="preserve">просп</w:t>
            </w:r>
            <w:r>
              <w:rPr>
                <w:rFonts w:ascii="Times New Roman" w:hAnsi="Times New Roman" w:cs="Times New Roman"/>
                <w:sz w:val="24"/>
                <w:szCs w:val="24"/>
                <w:lang w:eastAsia="uk-UA"/>
              </w:rPr>
              <w:t xml:space="preserve">. 200 річчя Кривого Рогу, 14 (навпроти) в напрямку вул. Співдружності</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Кривий Ріг, </w:t>
            </w:r>
            <w:r>
              <w:rPr>
                <w:rFonts w:ascii="Times New Roman" w:hAnsi="Times New Roman" w:cs="Times New Roman"/>
                <w:sz w:val="24"/>
                <w:szCs w:val="24"/>
                <w:lang w:eastAsia="uk-UA"/>
              </w:rPr>
              <w:t xml:space="preserve">просп</w:t>
            </w:r>
            <w:r>
              <w:rPr>
                <w:rFonts w:ascii="Times New Roman" w:hAnsi="Times New Roman" w:cs="Times New Roman"/>
                <w:sz w:val="24"/>
                <w:szCs w:val="24"/>
                <w:lang w:eastAsia="uk-UA"/>
              </w:rPr>
              <w:t xml:space="preserve">. 200 річчя Кривого Рогу, 14 (в напрямку вул. Виноградна)</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5</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Львів, вул. </w:t>
            </w:r>
            <w:r>
              <w:rPr>
                <w:rFonts w:ascii="Times New Roman" w:hAnsi="Times New Roman" w:cs="Times New Roman"/>
                <w:sz w:val="24"/>
                <w:szCs w:val="24"/>
                <w:lang w:eastAsia="uk-UA"/>
              </w:rPr>
              <w:t xml:space="preserve">Любінська</w:t>
            </w:r>
            <w:r>
              <w:rPr>
                <w:rFonts w:ascii="Times New Roman" w:hAnsi="Times New Roman" w:cs="Times New Roman"/>
                <w:sz w:val="24"/>
                <w:szCs w:val="24"/>
                <w:lang w:eastAsia="uk-UA"/>
              </w:rPr>
              <w:t xml:space="preserve">, 89</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6</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Львів, вул. </w:t>
            </w:r>
            <w:r>
              <w:rPr>
                <w:rFonts w:ascii="Times New Roman" w:hAnsi="Times New Roman" w:cs="Times New Roman"/>
                <w:sz w:val="24"/>
                <w:szCs w:val="24"/>
                <w:lang w:eastAsia="uk-UA"/>
              </w:rPr>
              <w:t xml:space="preserve">Кульпарківська</w:t>
            </w:r>
            <w:r>
              <w:rPr>
                <w:rFonts w:ascii="Times New Roman" w:hAnsi="Times New Roman" w:cs="Times New Roman"/>
                <w:sz w:val="24"/>
                <w:szCs w:val="24"/>
                <w:lang w:eastAsia="uk-UA"/>
              </w:rPr>
              <w:t xml:space="preserve">, 93</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7</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Львів, вул. Богданівська, 44</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8</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М11 Львів – Шегині 13+301</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9</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M-06 Київ – Чоп 339+091</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Рівне, вул. Київська, 90</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11</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Рівне, вул. Соборна, 416</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12</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Рівне, вул. Київська, 92</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13</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Львів, вул. </w:t>
            </w:r>
            <w:r>
              <w:rPr>
                <w:rFonts w:ascii="Times New Roman" w:hAnsi="Times New Roman" w:cs="Times New Roman"/>
                <w:sz w:val="24"/>
                <w:szCs w:val="24"/>
                <w:lang w:eastAsia="uk-UA"/>
              </w:rPr>
              <w:t xml:space="preserve">Любінська</w:t>
            </w:r>
            <w:r>
              <w:rPr>
                <w:rFonts w:ascii="Times New Roman" w:hAnsi="Times New Roman" w:cs="Times New Roman"/>
                <w:sz w:val="24"/>
                <w:szCs w:val="24"/>
                <w:lang w:eastAsia="uk-UA"/>
              </w:rPr>
              <w:t xml:space="preserve">, 92</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14</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Львів, вул. </w:t>
            </w:r>
            <w:r>
              <w:rPr>
                <w:rFonts w:ascii="Times New Roman" w:hAnsi="Times New Roman" w:cs="Times New Roman"/>
                <w:sz w:val="24"/>
                <w:szCs w:val="24"/>
                <w:lang w:eastAsia="uk-UA"/>
              </w:rPr>
              <w:t xml:space="preserve">Кульпарківська</w:t>
            </w:r>
            <w:r>
              <w:rPr>
                <w:rFonts w:ascii="Times New Roman" w:hAnsi="Times New Roman" w:cs="Times New Roman"/>
                <w:sz w:val="24"/>
                <w:szCs w:val="24"/>
                <w:lang w:eastAsia="uk-UA"/>
              </w:rPr>
              <w:t xml:space="preserve">, 64а</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Черкаси, </w:t>
            </w:r>
            <w:r>
              <w:rPr>
                <w:rFonts w:ascii="Times New Roman" w:hAnsi="Times New Roman" w:cs="Times New Roman"/>
                <w:sz w:val="24"/>
                <w:szCs w:val="24"/>
                <w:lang w:eastAsia="uk-UA"/>
              </w:rPr>
              <w:t xml:space="preserve">Чорновола</w:t>
            </w:r>
            <w:r>
              <w:rPr>
                <w:rFonts w:ascii="Times New Roman" w:hAnsi="Times New Roman" w:cs="Times New Roman"/>
                <w:sz w:val="24"/>
                <w:szCs w:val="24"/>
                <w:lang w:eastAsia="uk-UA"/>
              </w:rPr>
              <w:t xml:space="preserve">, 119</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Черкаси, </w:t>
            </w:r>
            <w:r>
              <w:rPr>
                <w:rFonts w:ascii="Times New Roman" w:hAnsi="Times New Roman" w:cs="Times New Roman"/>
                <w:sz w:val="24"/>
                <w:szCs w:val="24"/>
                <w:lang w:eastAsia="uk-UA"/>
              </w:rPr>
              <w:t xml:space="preserve">Сумгаїтська</w:t>
            </w:r>
            <w:r>
              <w:rPr>
                <w:rFonts w:ascii="Times New Roman" w:hAnsi="Times New Roman" w:cs="Times New Roman"/>
                <w:sz w:val="24"/>
                <w:szCs w:val="24"/>
                <w:lang w:eastAsia="uk-UA"/>
              </w:rPr>
              <w:t xml:space="preserve">, 21 (в напрямку вул. </w:t>
            </w:r>
            <w:r>
              <w:rPr>
                <w:rFonts w:ascii="Times New Roman" w:hAnsi="Times New Roman" w:cs="Times New Roman"/>
                <w:sz w:val="24"/>
                <w:szCs w:val="24"/>
                <w:lang w:eastAsia="uk-UA"/>
              </w:rPr>
              <w:t xml:space="preserve">Вергая</w:t>
            </w:r>
            <w:r>
              <w:rPr>
                <w:rFonts w:ascii="Times New Roman" w:hAnsi="Times New Roman" w:cs="Times New Roman"/>
                <w:sz w:val="24"/>
                <w:szCs w:val="24"/>
                <w:lang w:eastAsia="uk-UA"/>
              </w:rPr>
              <w:t xml:space="preserve">)</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17</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Черкаси, </w:t>
            </w:r>
            <w:r>
              <w:rPr>
                <w:rFonts w:ascii="Times New Roman" w:hAnsi="Times New Roman" w:cs="Times New Roman"/>
                <w:sz w:val="24"/>
                <w:szCs w:val="24"/>
                <w:lang w:eastAsia="uk-UA"/>
              </w:rPr>
              <w:t xml:space="preserve">Сумгаїтська</w:t>
            </w:r>
            <w:r>
              <w:rPr>
                <w:rFonts w:ascii="Times New Roman" w:hAnsi="Times New Roman" w:cs="Times New Roman"/>
                <w:sz w:val="24"/>
                <w:szCs w:val="24"/>
                <w:lang w:eastAsia="uk-UA"/>
              </w:rPr>
              <w:t xml:space="preserve">, 21 (в напрямку вул. Корольова)</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18</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Павлоград, вул. Дніпровська, 407</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19</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м. Павлоград, вул. Дніпровська, 16</w:t>
            </w:r>
            <w:r/>
          </w:p>
        </w:tc>
        <w:tc>
          <w:tcPr>
            <w:shd w:val="clear" w:color="auto" w:fill="auto"/>
            <w:tcW w:w="1556" w:type="dxa"/>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r>
        <w:trPr>
          <w:trHeight w:val="300"/>
        </w:trPr>
        <w:tc>
          <w:tcPr>
            <w:shd w:val="clear" w:color="auto" w:fill="auto"/>
            <w:tcW w:w="1128" w:type="dxa"/>
            <w:vAlign w:val="center"/>
            <w:textDirection w:val="lrTb"/>
            <w:noWrap w:val="false"/>
          </w:tcPr>
          <w:p>
            <w:pPr>
              <w:ind w:left="360"/>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20</w:t>
            </w:r>
            <w:r/>
          </w:p>
        </w:tc>
        <w:tc>
          <w:tcPr>
            <w:shd w:val="clear" w:color="auto" w:fill="ffffff"/>
            <w:tcW w:w="6945" w:type="dxa"/>
            <w:vAlign w:val="center"/>
            <w:textDirection w:val="lrTb"/>
            <w:noWrap w:val="false"/>
          </w:tcPr>
          <w:p>
            <w:pP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Н-08 Бориспіль – Дніпро – Запоріжжя (через м. Кременчук) – Маріуполь 423+660</w:t>
            </w:r>
            <w:r/>
          </w:p>
        </w:tc>
        <w:tc>
          <w:tcPr>
            <w:shd w:val="clear" w:color="auto" w:fill="auto"/>
            <w:tcW w:w="1556" w:type="dxa"/>
            <w:vAlign w:val="center"/>
            <w:textDirection w:val="lrTb"/>
            <w:noWrap w:val="false"/>
          </w:tcPr>
          <w:p>
            <w:pPr>
              <w:jc w:val="center"/>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w:t>
            </w:r>
            <w:r/>
          </w:p>
        </w:tc>
      </w:tr>
    </w:tbl>
    <w:p>
      <w:pPr>
        <w:spacing w:after="0" w:line="240" w:lineRule="auto"/>
        <w:rPr>
          <w:rFonts w:ascii="Times New Roman" w:hAnsi="Times New Roman" w:cs="Times New Roman"/>
          <w:b/>
          <w:sz w:val="24"/>
          <w:szCs w:val="24"/>
          <w:lang w:eastAsia="uk-UA"/>
        </w:rPr>
      </w:pPr>
      <w:r/>
      <w:bookmarkStart w:id="1" w:name="_8lhjtjsyighw"/>
      <w:r/>
      <w:bookmarkEnd w:id="1"/>
      <w:r/>
      <w:r/>
    </w:p>
    <w:p>
      <w:pPr>
        <w:ind w:left="567"/>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3. Перелік послуг технічного обслуговування та періодичність їх виконання:</w:t>
      </w:r>
      <w:r/>
    </w:p>
    <w:tbl>
      <w:tblPr>
        <w:tblW w:w="9918" w:type="dxa"/>
        <w:tblBorders>
          <w:top w:val="single" w:color="00000A" w:sz="4" w:space="0"/>
          <w:left w:val="single" w:color="00000A" w:sz="4" w:space="0"/>
          <w:bottom w:val="single" w:color="00000A" w:sz="4" w:space="0"/>
          <w:right w:val="single" w:color="00000A" w:sz="4" w:space="0"/>
          <w:insideH w:val="single" w:color="00000A" w:sz="4" w:space="0"/>
          <w:insideV w:val="single" w:color="00000A" w:sz="4" w:space="0"/>
        </w:tblBorders>
        <w:tblLook w:val="0000" w:firstRow="0" w:lastRow="0" w:firstColumn="0" w:lastColumn="0" w:noHBand="0" w:noVBand="0"/>
      </w:tblPr>
      <w:tblGrid>
        <w:gridCol w:w="7368"/>
        <w:gridCol w:w="2550"/>
      </w:tblGrid>
      <w:tr>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center"/>
              <w:spacing w:after="0" w:line="240" w:lineRule="auto"/>
              <w:rPr>
                <w:rFonts w:ascii="Times New Roman" w:hAnsi="Times New Roman" w:cs="Times New Roman"/>
                <w:b/>
                <w:sz w:val="24"/>
                <w:szCs w:val="24"/>
                <w:lang w:eastAsia="uk-UA"/>
              </w:rPr>
            </w:pPr>
            <w:r/>
            <w:bookmarkStart w:id="2" w:name="_hwckevvgb07n"/>
            <w:r/>
            <w:bookmarkEnd w:id="2"/>
            <w:r>
              <w:rPr>
                <w:rFonts w:ascii="Times New Roman" w:hAnsi="Times New Roman" w:cs="Times New Roman"/>
                <w:b/>
                <w:sz w:val="24"/>
                <w:szCs w:val="24"/>
                <w:lang w:eastAsia="uk-UA"/>
              </w:rPr>
              <w:t xml:space="preserve">Вид технічного обслуговування та перелік операцій, що виконуються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Періодичність проведення</w:t>
            </w:r>
            <w:r/>
          </w:p>
        </w:tc>
      </w:tr>
      <w:tr>
        <w:trPr>
          <w:trHeight w:val="553"/>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ind w:left="176" w:firstLine="709"/>
              <w:jc w:val="center"/>
              <w:spacing w:after="0" w:line="240" w:lineRule="auto"/>
              <w:rPr>
                <w:rFonts w:ascii="Times New Roman" w:hAnsi="Times New Roman" w:cs="Times New Roman"/>
                <w:sz w:val="24"/>
                <w:szCs w:val="24"/>
                <w:lang w:eastAsia="uk-UA"/>
              </w:rPr>
            </w:pPr>
            <w:r>
              <w:rPr>
                <w:rFonts w:ascii="Times New Roman" w:hAnsi="Times New Roman" w:cs="Times New Roman"/>
                <w:b/>
                <w:sz w:val="24"/>
                <w:szCs w:val="24"/>
                <w:lang w:eastAsia="uk-UA"/>
              </w:rPr>
              <w:t xml:space="preserve">Цілодобовий моніторинг роботи усіх систем комплексу</w:t>
            </w:r>
            <w:r/>
          </w:p>
        </w:tc>
      </w:tr>
      <w:tr>
        <w:trPr>
          <w:trHeight w:val="100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bCs/>
                <w:sz w:val="24"/>
                <w:szCs w:val="24"/>
                <w:lang w:eastAsia="uk-UA"/>
              </w:rPr>
              <w:t xml:space="preserve">Ц</w:t>
            </w:r>
            <w:r>
              <w:rPr>
                <w:rFonts w:ascii="Times New Roman" w:hAnsi="Times New Roman" w:cs="Times New Roman"/>
                <w:sz w:val="24"/>
                <w:szCs w:val="24"/>
                <w:lang w:eastAsia="uk-UA"/>
              </w:rPr>
              <w:t xml:space="preserve">ілодобов</w:t>
            </w:r>
            <w:r>
              <w:rPr>
                <w:rFonts w:ascii="Times New Roman" w:hAnsi="Times New Roman" w:cs="Times New Roman"/>
                <w:sz w:val="24"/>
                <w:szCs w:val="24"/>
                <w:lang w:eastAsia="uk-UA"/>
              </w:rPr>
              <w:t xml:space="preserve">ий моніторинг роботи  усіх систем комплексу «HOAG-50/1» (далі — цілодобовий моніторинг) проводиться в усіх режимах роботи з автоматичною генерацією аварійних повідомлень. Він включає перевіряння показників функціонування систем комплексу у штатному режимі:</w:t>
            </w:r>
            <w:r/>
          </w:p>
          <w:p>
            <w:pPr>
              <w:numPr>
                <w:ilvl w:val="0"/>
                <w:numId w:val="43"/>
              </w:numPr>
              <w:contextualSpacing/>
              <w:ind w:left="176" w:hanging="12"/>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системи мережевого електроживлення;</w:t>
            </w:r>
            <w:r/>
          </w:p>
          <w:p>
            <w:pPr>
              <w:numPr>
                <w:ilvl w:val="0"/>
                <w:numId w:val="43"/>
              </w:numPr>
              <w:contextualSpacing/>
              <w:ind w:left="176" w:hanging="12"/>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системи обігріву АКБ;</w:t>
            </w:r>
            <w:r/>
          </w:p>
          <w:p>
            <w:pPr>
              <w:numPr>
                <w:ilvl w:val="0"/>
                <w:numId w:val="43"/>
              </w:numPr>
              <w:contextualSpacing/>
              <w:ind w:left="176" w:hanging="12"/>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системи резервного електроживлення від АКБ;</w:t>
            </w:r>
            <w:r/>
          </w:p>
          <w:p>
            <w:pPr>
              <w:numPr>
                <w:ilvl w:val="0"/>
                <w:numId w:val="43"/>
              </w:numPr>
              <w:contextualSpacing/>
              <w:ind w:left="176" w:hanging="12"/>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головного модулю;</w:t>
            </w:r>
            <w:r/>
          </w:p>
          <w:p>
            <w:pPr>
              <w:numPr>
                <w:ilvl w:val="0"/>
                <w:numId w:val="43"/>
              </w:numPr>
              <w:contextualSpacing/>
              <w:ind w:left="176" w:hanging="12"/>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каналів зв’язку між комплексом та центром обробки даних.</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Цілодобово</w:t>
            </w:r>
            <w:r/>
          </w:p>
        </w:tc>
      </w:tr>
      <w:tr>
        <w:trPr>
          <w:trHeight w:val="583"/>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cs="Times New Roman"/>
                <w:bCs/>
                <w:sz w:val="24"/>
                <w:szCs w:val="24"/>
                <w:lang w:eastAsia="uk-UA"/>
              </w:rPr>
            </w:pPr>
            <w:r>
              <w:rPr>
                <w:rFonts w:ascii="Times New Roman" w:hAnsi="Times New Roman" w:cs="Times New Roman"/>
                <w:bCs/>
                <w:sz w:val="24"/>
                <w:szCs w:val="24"/>
                <w:lang w:eastAsia="uk-UA"/>
              </w:rPr>
              <w:t xml:space="preserve">Відстеження і усунення помилок і збоїв у роботі системи </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Цілодобово</w:t>
            </w:r>
            <w:r/>
          </w:p>
        </w:tc>
      </w:tr>
      <w:tr>
        <w:trPr>
          <w:trHeight w:val="45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jc w:val="center"/>
              <w:spacing w:after="0" w:line="240" w:lineRule="auto"/>
              <w:shd w:val="clear" w:color="auto" w:fill="ffffff"/>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Технічний (контрольний) огляд та обстеження </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Візуальний контроль наявності та цілісності зовнішніх антенних пристроїв, пломб</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Візуальний контроль цілісності сигнальних кабелів, кабелів електроживлення та заземлення. Перевірка контактів в затискачах</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64"/>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Перевірка наявності забруднення зовнішніх елементів ІЧ прожектора</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64"/>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Перевірка наявності забруднення, мийка корпусів та скла </w:t>
            </w:r>
            <w:r>
              <w:rPr>
                <w:rFonts w:ascii="Times New Roman" w:hAnsi="Times New Roman" w:cs="Times New Roman"/>
                <w:sz w:val="24"/>
                <w:szCs w:val="24"/>
                <w:lang w:eastAsia="uk-UA"/>
              </w:rPr>
              <w:t xml:space="preserve">відеодатчиків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64"/>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5. Перевірка наявності снігу та бруду внутрішньої поверхні захисних бленд </w:t>
            </w:r>
            <w:r>
              <w:rPr>
                <w:rFonts w:ascii="Times New Roman" w:hAnsi="Times New Roman" w:cs="Times New Roman"/>
                <w:sz w:val="24"/>
                <w:szCs w:val="24"/>
                <w:lang w:eastAsia="uk-UA"/>
              </w:rPr>
              <w:t xml:space="preserve">відеодатчиків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64"/>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6. Перевірка наявності видимих пошкоджень обладнання Комплексу, перевірка надійності кріплень та з’єднань</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64"/>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7. Перевірка наявності відеосигналу та його якості для визначення працездатності </w:t>
            </w:r>
            <w:r>
              <w:rPr>
                <w:rFonts w:ascii="Times New Roman" w:hAnsi="Times New Roman" w:cs="Times New Roman"/>
                <w:sz w:val="24"/>
                <w:szCs w:val="24"/>
                <w:lang w:eastAsia="uk-UA"/>
              </w:rPr>
              <w:t xml:space="preserve">відеотракту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64"/>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8. Перевірка ОС </w:t>
            </w:r>
            <w:r>
              <w:rPr>
                <w:rFonts w:ascii="Times New Roman" w:hAnsi="Times New Roman" w:cs="Times New Roman"/>
                <w:sz w:val="24"/>
                <w:szCs w:val="24"/>
                <w:lang w:val="en-US" w:eastAsia="uk-UA"/>
              </w:rPr>
              <w:t xml:space="preserve">Windows</w:t>
            </w:r>
            <w:r>
              <w:rPr>
                <w:rFonts w:ascii="Times New Roman" w:hAnsi="Times New Roman" w:cs="Times New Roman"/>
                <w:sz w:val="24"/>
                <w:szCs w:val="24"/>
                <w:lang w:eastAsia="uk-UA"/>
              </w:rPr>
              <w:t xml:space="preserve"> та спеціалізованого програмного забезпечення вбудованими діагностичними програмами</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64"/>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9. Перевірка відповідності поточного навантаження апаратному забезпеченню, що використовується, тестування продуктивності окремих операцій</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64"/>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10. Перевірка журналів інформаційної взаємодії з єдиною інформаційною системою Міністерства внутрішніх справ України та/або зовнішньою інформаційною системою</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64"/>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11. Перевірка: фарбування корпусу, слідів корозії на зовнішніх поверхнях обладнання Комплексу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4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64"/>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12. Перевірка наявності кабелю між заземлювачами і заземленими елементами</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507"/>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vAlign w:val="center"/>
            <w:textDirection w:val="lrTb"/>
            <w:noWrap w:val="false"/>
          </w:tcPr>
          <w:p>
            <w:pPr>
              <w:contextualSpacing/>
              <w:jc w:val="center"/>
              <w:spacing w:after="0" w:line="240" w:lineRule="auto"/>
              <w:shd w:val="clear" w:color="auto" w:fill="ffffff"/>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Технічне обслуговування </w:t>
            </w:r>
            <w:r/>
          </w:p>
        </w:tc>
      </w:tr>
      <w:tr>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 Детальний огляд та чистка блоків всієї апаратури без розтину блоків, захисних боксів, конструкцій, кріплень, перемикачів, роз'ємів і </w:t>
            </w:r>
            <w:r>
              <w:rPr>
                <w:rFonts w:ascii="Times New Roman" w:hAnsi="Times New Roman" w:eastAsia="Calibri" w:cs="Times New Roman"/>
                <w:sz w:val="24"/>
                <w:szCs w:val="24"/>
              </w:rPr>
              <w:t xml:space="preserve">т.п</w:t>
            </w:r>
            <w:r>
              <w:rPr>
                <w:rFonts w:ascii="Times New Roman" w:hAnsi="Times New Roman" w:eastAsia="Calibri" w:cs="Times New Roman"/>
                <w:sz w:val="24"/>
                <w:szCs w:val="24"/>
              </w:rPr>
              <w:t xml:space="preserve">., видалення пилу та забруднення внаслідок природних факторів та зносу. Перевірка та усунення недоліків кріплень та з’єднань</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929"/>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2. Перевірка працездатності комплектуючих виробів у всіх режимах з використанням програмного забезпечення системи контролю та оновлення функціональних можливостей (за необхідності), виконання контрольного кадру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55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3. Перевірка та регулювання електротехнічних компонентів (батарейні комплекти, блоки живлення, плати, електричні з'єднання) та їх заміни, за необхідності</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53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4. Перевірка справності, надійності та відповідності заземлення та елементів грозозахисту до вимог технічної документації з вимірюванням. Перевірка контактів в затискачах</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134"/>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5. Контрольний заряд-розряд батарейних комплектів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6. Перевірка стану джерел живлення електроенергією,   дистанційного управління та сигналізації</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7. Чистка  оптичних елементів та інфрачервоних прожекторів комплексу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8. Перевірка та, за необхідності, регулювання та юстування камер та інфрачервоних прожекторів, проведення інших механічних регулювань з тестуванням роботи системи згідно методики</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b/>
                <w:sz w:val="24"/>
                <w:szCs w:val="24"/>
              </w:rPr>
            </w:pPr>
            <w:r>
              <w:rPr>
                <w:rFonts w:ascii="Times New Roman" w:hAnsi="Times New Roman" w:eastAsia="Calibri" w:cs="Times New Roman"/>
                <w:sz w:val="24"/>
                <w:szCs w:val="24"/>
              </w:rPr>
              <w:t xml:space="preserve">9. Заміна елементів та вузлів комплексу, герметичних прокладок та інших матеріалів, що мають обмежений термін служби. Повернення </w:t>
            </w:r>
            <w:r>
              <w:rPr>
                <w:rFonts w:ascii="Times New Roman" w:hAnsi="Times New Roman" w:eastAsia="Calibri" w:cs="Times New Roman"/>
                <w:sz w:val="24"/>
                <w:szCs w:val="24"/>
              </w:rPr>
              <w:t xml:space="preserve">з метою контролю зламаних, зношених та/або морально застарілих складових комплексу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bookmarkStart w:id="3" w:name="__DdeLink__3409_1807735482"/>
            <w:r>
              <w:rPr>
                <w:rFonts w:ascii="Times New Roman" w:hAnsi="Times New Roman" w:cs="Times New Roman"/>
                <w:sz w:val="24"/>
                <w:szCs w:val="24"/>
                <w:lang w:eastAsia="uk-UA"/>
              </w:rPr>
              <w:t xml:space="preserve">При потребі</w:t>
            </w:r>
            <w:bookmarkEnd w:id="3"/>
            <w:r/>
            <w:r/>
          </w:p>
        </w:tc>
      </w:tr>
      <w:tr>
        <w:trPr>
          <w:trHeight w:val="112"/>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10. Заключне вимірювання параметрів і характеристик апаратури і доведення їх, при необхідності, до встановлених норм. Тестування якості відеосигналу, визначення працездатності </w:t>
            </w:r>
            <w:r>
              <w:rPr>
                <w:rFonts w:ascii="Times New Roman" w:hAnsi="Times New Roman" w:eastAsia="Calibri" w:cs="Times New Roman"/>
                <w:sz w:val="24"/>
                <w:szCs w:val="24"/>
              </w:rPr>
              <w:t xml:space="preserve">відеодатчику</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7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contextualSpacing/>
              <w:ind w:left="176"/>
              <w:jc w:val="both"/>
              <w:spacing w:after="0" w:line="240" w:lineRule="auto"/>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11. Аналіз відповідності поточного навантаження апаратному забезпеченню, що використовується, тестування продуктивності окремих операцій. Контроль архівів даних та контрольних точок відновлення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11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12. Встановлення критичних оновлень та/або профілактика системного програмного забезпечення, перевірка реєстрів, журналів. Тестування та профілактичне обслуговування ОС </w:t>
            </w:r>
            <w:r>
              <w:rPr>
                <w:rFonts w:ascii="Times New Roman" w:hAnsi="Times New Roman" w:cs="Times New Roman"/>
                <w:sz w:val="24"/>
                <w:szCs w:val="24"/>
                <w:lang w:val="en-US" w:eastAsia="uk-UA"/>
              </w:rPr>
              <w:t xml:space="preserve">Windows</w:t>
            </w:r>
            <w:r>
              <w:rPr>
                <w:rFonts w:ascii="Times New Roman" w:hAnsi="Times New Roman" w:cs="Times New Roman"/>
                <w:sz w:val="24"/>
                <w:szCs w:val="24"/>
                <w:lang w:eastAsia="uk-UA"/>
              </w:rPr>
              <w:t xml:space="preserve"> та спеціалізованого програмного забезпечення вбудованими діагностичними програмами</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772"/>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contextualSpacing/>
              <w:ind w:left="176"/>
              <w:jc w:val="both"/>
              <w:spacing w:after="0" w:line="240" w:lineRule="auto"/>
              <w:shd w:val="clear" w:color="auto" w:fill="ffffff"/>
              <w:tabs>
                <w:tab w:val="left" w:pos="459" w:leader="none"/>
              </w:tabs>
              <w:rPr>
                <w:rFonts w:ascii="Times New Roman" w:hAnsi="Times New Roman" w:eastAsia="Calibri" w:cs="Times New Roman"/>
                <w:sz w:val="24"/>
                <w:szCs w:val="24"/>
              </w:rPr>
            </w:pPr>
            <w:r>
              <w:rPr>
                <w:rFonts w:ascii="Times New Roman" w:hAnsi="Times New Roman" w:eastAsia="Calibri" w:cs="Times New Roman"/>
                <w:sz w:val="24"/>
                <w:szCs w:val="24"/>
              </w:rPr>
              <w:t xml:space="preserve">13. Тестування відновлення працездатності під час збоїв окремих компонентів </w:t>
            </w:r>
            <w:r>
              <w:rPr>
                <w:rFonts w:ascii="Times New Roman" w:hAnsi="Times New Roman" w:cs="Times New Roman"/>
                <w:sz w:val="24"/>
                <w:szCs w:val="24"/>
                <w:lang w:eastAsia="uk-UA"/>
              </w:rPr>
              <w:t xml:space="preserve">програмного забезпечення</w:t>
            </w:r>
            <w:r>
              <w:rPr>
                <w:rFonts w:ascii="Times New Roman" w:hAnsi="Times New Roman" w:eastAsia="Calibri" w:cs="Times New Roman"/>
                <w:sz w:val="24"/>
                <w:szCs w:val="24"/>
              </w:rPr>
              <w:t xml:space="preserve"> без втрати даних. Проведення електричних і механічних регулювань обладнання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highlight w:val="green"/>
                <w:lang w:eastAsia="uk-UA"/>
              </w:rPr>
            </w:pPr>
            <w:r>
              <w:rPr>
                <w:rFonts w:ascii="Times New Roman" w:hAnsi="Times New Roman" w:cs="Times New Roman"/>
                <w:sz w:val="24"/>
                <w:szCs w:val="24"/>
                <w:lang w:eastAsia="uk-UA"/>
              </w:rPr>
              <w:t xml:space="preserve">При потребі</w:t>
            </w:r>
            <w:r/>
          </w:p>
        </w:tc>
      </w:tr>
      <w:tr>
        <w:trPr>
          <w:trHeight w:val="358"/>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14. Періодичне оновлення програмного забезпечення, у тому числі розширення або заміна функціоналу. Зокрема, в частині розпізнавання індивідуальних номерних знаків для досягнення показника з ймовірністю не гірше ніж 95 % (відсотків)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 та при потребі Замовника</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15. Ведення експлуатаційної документації та перевірка правильності ведення</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Щомісяця</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vAlign w:val="center"/>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16. </w:t>
            </w:r>
            <w:r>
              <w:rPr>
                <w:rFonts w:ascii="Times New Roman" w:hAnsi="Times New Roman" w:eastAsia="Calibri" w:cs="Times New Roman"/>
                <w:sz w:val="24"/>
                <w:szCs w:val="24"/>
              </w:rPr>
              <w:t xml:space="preserve">Очищення від забруднення зовнішніх елементів ІЧ прожектора, елементів радару, мийка корпусу та скла </w:t>
            </w:r>
            <w:r>
              <w:rPr>
                <w:rFonts w:ascii="Times New Roman" w:hAnsi="Times New Roman" w:eastAsia="Calibri" w:cs="Times New Roman"/>
                <w:sz w:val="24"/>
                <w:szCs w:val="24"/>
              </w:rPr>
              <w:t xml:space="preserve">відеодатчика</w:t>
            </w:r>
            <w:r>
              <w:rPr>
                <w:rFonts w:ascii="Times New Roman" w:hAnsi="Times New Roman" w:eastAsia="Calibri" w:cs="Times New Roman"/>
                <w:sz w:val="24"/>
                <w:szCs w:val="24"/>
              </w:rPr>
              <w:t xml:space="preserve">. Очищення від снігу та бруду внутрішньої поверхні захисних бленд </w:t>
            </w:r>
            <w:r>
              <w:rPr>
                <w:rFonts w:ascii="Times New Roman" w:hAnsi="Times New Roman" w:eastAsia="Calibri" w:cs="Times New Roman"/>
                <w:sz w:val="24"/>
                <w:szCs w:val="24"/>
              </w:rPr>
              <w:t xml:space="preserve">відеодатчика</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sz w:val="24"/>
                <w:szCs w:val="24"/>
                <w:lang w:eastAsia="uk-UA"/>
              </w:rPr>
              <w:t xml:space="preserve">При потребі</w:t>
            </w:r>
            <w:r/>
          </w:p>
        </w:tc>
      </w:tr>
      <w:tr>
        <w:trPr>
          <w:trHeight w:val="39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textDirection w:val="lrTb"/>
            <w:noWrap w:val="false"/>
          </w:tcPr>
          <w:p>
            <w:pPr>
              <w:ind w:left="176"/>
              <w:jc w:val="center"/>
              <w:spacing w:after="0" w:line="240" w:lineRule="auto"/>
              <w:shd w:val="clear" w:color="auto" w:fill="ffffff"/>
              <w:tabs>
                <w:tab w:val="left" w:pos="459" w:leader="none"/>
              </w:tabs>
              <w:rPr>
                <w:rFonts w:ascii="Times New Roman" w:hAnsi="Times New Roman" w:cs="Times New Roman"/>
                <w:sz w:val="24"/>
                <w:szCs w:val="24"/>
                <w:lang w:eastAsia="uk-UA"/>
              </w:rPr>
            </w:pPr>
            <w:r>
              <w:rPr>
                <w:rFonts w:ascii="Times New Roman" w:hAnsi="Times New Roman" w:cs="Times New Roman"/>
                <w:b/>
                <w:sz w:val="24"/>
                <w:szCs w:val="24"/>
              </w:rPr>
              <w:t xml:space="preserve">Сезонне</w:t>
            </w:r>
            <w:r>
              <w:rPr>
                <w:rFonts w:ascii="Times New Roman" w:hAnsi="Times New Roman" w:cs="Times New Roman"/>
                <w:b/>
                <w:spacing w:val="49"/>
                <w:sz w:val="24"/>
                <w:szCs w:val="24"/>
              </w:rPr>
              <w:t xml:space="preserve"> </w:t>
            </w:r>
            <w:r>
              <w:rPr>
                <w:rFonts w:ascii="Times New Roman" w:hAnsi="Times New Roman" w:cs="Times New Roman"/>
                <w:b/>
                <w:sz w:val="24"/>
                <w:szCs w:val="24"/>
              </w:rPr>
              <w:t xml:space="preserve">обслуговування</w:t>
            </w:r>
            <w:r>
              <w:rPr>
                <w:rFonts w:ascii="Times New Roman" w:hAnsi="Times New Roman" w:cs="Times New Roman"/>
                <w:b/>
                <w:spacing w:val="45"/>
                <w:sz w:val="24"/>
                <w:szCs w:val="24"/>
              </w:rPr>
              <w:t xml:space="preserve"> </w:t>
            </w:r>
            <w:r>
              <w:rPr>
                <w:rFonts w:ascii="Times New Roman" w:hAnsi="Times New Roman" w:cs="Times New Roman"/>
                <w:sz w:val="24"/>
                <w:szCs w:val="24"/>
              </w:rPr>
              <w:t xml:space="preserve">(СО)</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pStyle w:val="740"/>
              <w:numPr>
                <w:ilvl w:val="0"/>
                <w:numId w:val="45"/>
              </w:numPr>
              <w:jc w:val="both"/>
              <w:spacing w:after="0" w:line="240" w:lineRule="auto"/>
              <w:shd w:val="clear" w:color="auto" w:fill="ffffff"/>
              <w:tabs>
                <w:tab w:val="left" w:pos="459" w:leader="none"/>
              </w:tabs>
              <w:rPr>
                <w:rFonts w:ascii="Times New Roman" w:hAnsi="Times New Roman" w:cs="Times New Roman"/>
                <w:b/>
                <w:sz w:val="24"/>
                <w:szCs w:val="24"/>
              </w:rPr>
            </w:pPr>
            <w:r>
              <w:rPr>
                <w:rFonts w:ascii="Times New Roman" w:hAnsi="Times New Roman" w:cs="Times New Roman"/>
                <w:sz w:val="24"/>
                <w:szCs w:val="24"/>
              </w:rPr>
              <w:t xml:space="preserve">Роботи</w:t>
            </w:r>
            <w:r>
              <w:rPr>
                <w:rFonts w:ascii="Times New Roman" w:hAnsi="Times New Roman" w:cs="Times New Roman"/>
                <w:sz w:val="24"/>
                <w:szCs w:val="24"/>
              </w:rPr>
              <w:t xml:space="preserve"> в </w:t>
            </w:r>
            <w:r>
              <w:rPr>
                <w:rFonts w:ascii="Times New Roman" w:hAnsi="Times New Roman" w:cs="Times New Roman"/>
                <w:sz w:val="24"/>
                <w:szCs w:val="24"/>
              </w:rPr>
              <w:t xml:space="preserve">обсязі</w:t>
            </w:r>
            <w:r>
              <w:rPr>
                <w:rFonts w:ascii="Times New Roman" w:hAnsi="Times New Roman" w:cs="Times New Roman"/>
                <w:sz w:val="24"/>
                <w:szCs w:val="24"/>
              </w:rPr>
              <w:t xml:space="preserve"> ТО № 1;</w:t>
            </w:r>
            <w:r/>
          </w:p>
        </w:tc>
        <w:tc>
          <w:tcPr>
            <w:shd w:val="clear" w:color="auto" w:fill="auto"/>
            <w:tcBorders>
              <w:top w:val="single" w:color="00000A" w:sz="4" w:space="0"/>
              <w:left w:val="single" w:color="00000A" w:sz="4" w:space="0"/>
              <w:right w:val="single" w:color="00000A" w:sz="4" w:space="0"/>
            </w:tcBorders>
            <w:tcW w:w="2550" w:type="dxa"/>
            <w:vAlign w:val="center"/>
            <w:vMerge w:val="restart"/>
            <w:textDirection w:val="lrTb"/>
            <w:noWrap w:val="false"/>
          </w:tcPr>
          <w:p>
            <w:pPr>
              <w:pStyle w:val="779"/>
              <w:ind w:left="309"/>
              <w:jc w:val="center"/>
              <w:rPr>
                <w:sz w:val="24"/>
                <w:szCs w:val="24"/>
              </w:rPr>
            </w:pPr>
            <w:r>
              <w:rPr>
                <w:sz w:val="24"/>
                <w:szCs w:val="24"/>
              </w:rPr>
              <w:t xml:space="preserve">Двічі</w:t>
            </w:r>
            <w:r>
              <w:rPr>
                <w:sz w:val="24"/>
                <w:szCs w:val="24"/>
                <w:lang w:val="ru-RU"/>
              </w:rPr>
              <w:t xml:space="preserve"> </w:t>
            </w:r>
            <w:r>
              <w:rPr>
                <w:sz w:val="24"/>
                <w:szCs w:val="24"/>
              </w:rPr>
              <w:t xml:space="preserve">на</w:t>
            </w:r>
            <w:r>
              <w:rPr>
                <w:sz w:val="24"/>
                <w:szCs w:val="24"/>
                <w:lang w:val="ru-RU"/>
              </w:rPr>
              <w:t xml:space="preserve"> </w:t>
            </w:r>
            <w:r>
              <w:rPr>
                <w:sz w:val="24"/>
                <w:szCs w:val="24"/>
              </w:rPr>
              <w:t xml:space="preserve">рік</w:t>
            </w:r>
            <w:r>
              <w:rPr>
                <w:sz w:val="24"/>
                <w:szCs w:val="24"/>
                <w:lang w:val="ru-RU"/>
              </w:rPr>
              <w:t xml:space="preserve"> </w:t>
            </w:r>
            <w:r>
              <w:rPr>
                <w:sz w:val="24"/>
                <w:szCs w:val="24"/>
              </w:rPr>
              <w:t xml:space="preserve">у</w:t>
            </w:r>
            <w:r>
              <w:rPr>
                <w:sz w:val="24"/>
                <w:szCs w:val="24"/>
                <w:lang w:val="ru-RU"/>
              </w:rPr>
              <w:t xml:space="preserve"> </w:t>
            </w:r>
            <w:r>
              <w:rPr>
                <w:sz w:val="24"/>
                <w:szCs w:val="24"/>
              </w:rPr>
              <w:t xml:space="preserve">жовтні-листопаді та</w:t>
            </w:r>
            <w:r>
              <w:rPr>
                <w:sz w:val="24"/>
                <w:szCs w:val="24"/>
                <w:lang w:val="ru-RU"/>
              </w:rPr>
              <w:t xml:space="preserve"> </w:t>
            </w:r>
            <w:r>
              <w:rPr>
                <w:sz w:val="24"/>
                <w:szCs w:val="24"/>
                <w:lang w:val="ru-RU"/>
              </w:rPr>
              <w:t xml:space="preserve">липні</w:t>
            </w:r>
            <w:r>
              <w:rPr>
                <w:sz w:val="24"/>
                <w:szCs w:val="24"/>
              </w:rPr>
              <w:t xml:space="preserve">-серпні</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2. Заміна елементів та вузлів комплексу, герметичних прокладок та інших матеріалів, що мають обмежений термін служби (зберігання)</w:t>
            </w:r>
            <w:r/>
          </w:p>
        </w:tc>
        <w:tc>
          <w:tcPr>
            <w:shd w:val="clear" w:color="auto" w:fill="auto"/>
            <w:tcBorders>
              <w:left w:val="single" w:color="00000A" w:sz="4" w:space="0"/>
              <w:bottom w:val="single" w:color="00000A" w:sz="4" w:space="0"/>
              <w:right w:val="single" w:color="00000A" w:sz="4" w:space="0"/>
            </w:tcBorders>
            <w:tcW w:w="2550" w:type="dxa"/>
            <w:vMerge w:val="continue"/>
            <w:textDirection w:val="lrTb"/>
            <w:noWrap w:val="false"/>
          </w:tcPr>
          <w:p>
            <w:pPr>
              <w:ind w:left="309"/>
              <w:spacing w:after="0" w:line="240" w:lineRule="auto"/>
              <w:rPr>
                <w:rFonts w:ascii="Times New Roman" w:hAnsi="Times New Roman" w:cs="Times New Roman"/>
                <w:sz w:val="24"/>
                <w:szCs w:val="24"/>
              </w:rPr>
            </w:pPr>
            <w:r>
              <w:rPr>
                <w:rFonts w:ascii="Times New Roman" w:hAnsi="Times New Roman" w:cs="Times New Roman"/>
                <w:sz w:val="24"/>
                <w:szCs w:val="24"/>
              </w:rPr>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3. Профілактичне обслуговування: фарбування корпусу, видалення слідів корозії на зовнішній поверхні обладнання Комплексу</w:t>
            </w:r>
            <w:r/>
          </w:p>
        </w:tc>
        <w:tc>
          <w:tcPr>
            <w:shd w:val="clear" w:color="auto" w:fill="auto"/>
            <w:tcBorders>
              <w:left w:val="single" w:color="00000A" w:sz="4" w:space="0"/>
              <w:bottom w:val="single" w:color="00000A" w:sz="4" w:space="0"/>
              <w:right w:val="single" w:color="00000A" w:sz="4" w:space="0"/>
            </w:tcBorders>
            <w:tcW w:w="2550" w:type="dxa"/>
            <w:vAlign w:val="center"/>
            <w:textDirection w:val="lrTb"/>
            <w:noWrap w:val="false"/>
          </w:tcPr>
          <w:p>
            <w:pPr>
              <w:ind w:left="309"/>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Щорічно</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4. Випробування ізоляції проводів на електричну міцність. Перевірка відповідності контурів заземлення та елементів грозозахисту вимогам технічної документації</w:t>
            </w:r>
            <w:r/>
          </w:p>
        </w:tc>
        <w:tc>
          <w:tcPr>
            <w:shd w:val="clear" w:color="auto" w:fill="auto"/>
            <w:tcBorders>
              <w:left w:val="single" w:color="00000A" w:sz="4" w:space="0"/>
              <w:bottom w:val="single" w:color="00000A" w:sz="4" w:space="0"/>
              <w:right w:val="single" w:color="00000A" w:sz="4" w:space="0"/>
            </w:tcBorders>
            <w:tcW w:w="2550" w:type="dxa"/>
            <w:vAlign w:val="center"/>
            <w:textDirection w:val="lrTb"/>
            <w:noWrap w:val="false"/>
          </w:tcPr>
          <w:p>
            <w:pPr>
              <w:ind w:left="309"/>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Щорічно</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5. Тестування системи безперебійного живлення та охолодження відповідно до вимог технічної документації</w:t>
            </w:r>
            <w:r/>
          </w:p>
        </w:tc>
        <w:tc>
          <w:tcPr>
            <w:shd w:val="clear" w:color="auto" w:fill="auto"/>
            <w:tcBorders>
              <w:left w:val="single" w:color="00000A" w:sz="4" w:space="0"/>
              <w:bottom w:val="single" w:color="00000A" w:sz="4" w:space="0"/>
              <w:right w:val="single" w:color="00000A" w:sz="4" w:space="0"/>
            </w:tcBorders>
            <w:tcW w:w="2550" w:type="dxa"/>
            <w:vAlign w:val="center"/>
            <w:textDirection w:val="lrTb"/>
            <w:noWrap w:val="false"/>
          </w:tcPr>
          <w:p>
            <w:pPr>
              <w:ind w:left="309"/>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Щорічно</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6. Проведення калібрування, організація проведення метрологічної повірки відповідно до затверджених </w:t>
            </w:r>
            <w:r>
              <w:rPr>
                <w:rFonts w:ascii="Times New Roman" w:hAnsi="Times New Roman" w:cs="Times New Roman"/>
                <w:sz w:val="24"/>
                <w:szCs w:val="24"/>
              </w:rPr>
              <w:t xml:space="preserve">міжповірочних</w:t>
            </w:r>
            <w:r>
              <w:rPr>
                <w:rFonts w:ascii="Times New Roman" w:hAnsi="Times New Roman" w:cs="Times New Roman"/>
                <w:sz w:val="24"/>
                <w:szCs w:val="24"/>
              </w:rPr>
              <w:t xml:space="preserve"> інтервалів технічних засобів (приладів контролю)</w:t>
            </w:r>
            <w:r/>
          </w:p>
        </w:tc>
        <w:tc>
          <w:tcPr>
            <w:shd w:val="clear" w:color="auto" w:fill="auto"/>
            <w:tcBorders>
              <w:left w:val="single" w:color="00000A" w:sz="4" w:space="0"/>
              <w:bottom w:val="single" w:color="00000A" w:sz="4" w:space="0"/>
              <w:right w:val="single" w:color="00000A" w:sz="4" w:space="0"/>
            </w:tcBorders>
            <w:tcW w:w="2550" w:type="dxa"/>
            <w:vAlign w:val="center"/>
            <w:textDirection w:val="lrTb"/>
            <w:noWrap w:val="false"/>
          </w:tcPr>
          <w:p>
            <w:pPr>
              <w:ind w:left="309"/>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Щорічно</w:t>
            </w:r>
            <w:r/>
          </w:p>
        </w:tc>
      </w:tr>
      <w:tr>
        <w:trPr>
          <w:trHeight w:val="396"/>
        </w:trPr>
        <w:tc>
          <w:tcPr>
            <w:gridSpan w:val="2"/>
            <w:shd w:val="clear" w:color="auto" w:fill="auto"/>
            <w:tcBorders>
              <w:top w:val="single" w:color="00000A" w:sz="4" w:space="0"/>
              <w:left w:val="single" w:color="00000A" w:sz="4" w:space="0"/>
              <w:bottom w:val="single" w:color="00000A" w:sz="4" w:space="0"/>
              <w:right w:val="single" w:color="00000A" w:sz="4" w:space="0"/>
            </w:tcBorders>
            <w:tcW w:w="9918" w:type="dxa"/>
            <w:textDirection w:val="lrTb"/>
            <w:noWrap w:val="false"/>
          </w:tcPr>
          <w:p>
            <w:pPr>
              <w:ind w:left="309"/>
              <w:jc w:val="cente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Технічна підтримка</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b/>
                <w:sz w:val="24"/>
                <w:szCs w:val="24"/>
              </w:rPr>
            </w:pPr>
            <w:r>
              <w:rPr>
                <w:rFonts w:ascii="Times New Roman" w:hAnsi="Times New Roman" w:cs="Times New Roman"/>
                <w:sz w:val="24"/>
                <w:szCs w:val="24"/>
              </w:rPr>
              <w:t xml:space="preserve">Забезпечення виокремленим менеджером з обробки заявок і звернень</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309"/>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 період виконання договору</w:t>
            </w:r>
            <w:r/>
          </w:p>
        </w:tc>
      </w:tr>
      <w:tr>
        <w:trPr>
          <w:trHeight w:val="396"/>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Віддалене усунення аварій та збоїв. Співпраця зі службами по відновленню електроживлення на точках підключення комплексів</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textDirection w:val="lrTb"/>
            <w:noWrap w:val="false"/>
          </w:tcPr>
          <w:p>
            <w:pPr>
              <w:ind w:left="309"/>
              <w:jc w:val="cente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При потребі</w:t>
            </w:r>
            <w:r/>
          </w:p>
        </w:tc>
      </w:tr>
      <w:tr>
        <w:trPr>
          <w:trHeight w:val="1208"/>
        </w:trPr>
        <w:tc>
          <w:tcPr>
            <w:shd w:val="clear" w:color="auto" w:fill="auto"/>
            <w:tcBorders>
              <w:top w:val="single" w:color="00000A" w:sz="4" w:space="0"/>
              <w:left w:val="single" w:color="00000A" w:sz="4" w:space="0"/>
              <w:right w:val="single" w:color="00000A" w:sz="4" w:space="0"/>
            </w:tcBorders>
            <w:tcW w:w="7368" w:type="dxa"/>
            <w:vMerge w:val="restart"/>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Аварійний виїзд ремонтної бригади для усунення аварій</w:t>
            </w:r>
            <w:r>
              <w:rPr>
                <w:rFonts w:ascii="Times New Roman" w:hAnsi="Times New Roman" w:cs="Times New Roman"/>
                <w:sz w:val="24"/>
                <w:szCs w:val="24"/>
              </w:rPr>
              <w:t xml:space="preserve"> та збоїв (у разі відсутності технічної можливості віддаленого усунення аварій та збоїв). Відновлення роботи комплексу на місці встановлення, якщо не потрібен демонтаж. З моменту виявлення детальної причини непрацездатності комплексу заміна впродовж тижня </w:t>
            </w:r>
            <w:r>
              <w:rPr>
                <w:rFonts w:ascii="Times New Roman" w:hAnsi="Times New Roman" w:cs="Times New Roman"/>
                <w:sz w:val="24"/>
                <w:szCs w:val="24"/>
                <w:lang w:val="en-US"/>
              </w:rPr>
              <w:t xml:space="preserve">SSD</w:t>
            </w:r>
            <w:r>
              <w:rPr>
                <w:rFonts w:ascii="Times New Roman" w:hAnsi="Times New Roman" w:cs="Times New Roman"/>
                <w:sz w:val="24"/>
                <w:szCs w:val="24"/>
              </w:rPr>
              <w:t xml:space="preserve">, </w:t>
            </w:r>
            <w:r>
              <w:rPr>
                <w:rFonts w:ascii="Times New Roman" w:hAnsi="Times New Roman" w:cs="Times New Roman"/>
                <w:sz w:val="24"/>
                <w:szCs w:val="24"/>
              </w:rPr>
              <w:t xml:space="preserve">роутера</w:t>
            </w:r>
            <w:r>
              <w:rPr>
                <w:rFonts w:ascii="Times New Roman" w:hAnsi="Times New Roman" w:cs="Times New Roman"/>
                <w:sz w:val="24"/>
                <w:szCs w:val="24"/>
              </w:rPr>
              <w:t xml:space="preserve"> та інших складових комплексу, для заміни яких не потрібен демонтаж комплексу: при вартості складових, що становить менше 3000,00 грн з ПДВ, за рахунок Виконавця, при іншої вартості – за рахунок Замовника.</w:t>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309"/>
              <w:jc w:val="center"/>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Відновлення роботи комплексу протягом та максимум трьох діб з моменту </w:t>
            </w:r>
            <w:r>
              <w:rPr>
                <w:rFonts w:ascii="Times New Roman" w:hAnsi="Times New Roman" w:cs="Times New Roman"/>
                <w:sz w:val="24"/>
                <w:szCs w:val="24"/>
                <w:lang w:eastAsia="uk-UA"/>
              </w:rPr>
              <w:t xml:space="preserve">виявлення непрацездатності </w:t>
            </w:r>
            <w:r/>
          </w:p>
        </w:tc>
      </w:tr>
      <w:tr>
        <w:trPr>
          <w:trHeight w:val="1207"/>
        </w:trPr>
        <w:tc>
          <w:tcPr>
            <w:shd w:val="clear" w:color="auto" w:fill="auto"/>
            <w:tcBorders>
              <w:left w:val="single" w:color="00000A" w:sz="4" w:space="0"/>
              <w:bottom w:val="single" w:color="00000A" w:sz="4" w:space="0"/>
              <w:right w:val="single" w:color="00000A" w:sz="4" w:space="0"/>
            </w:tcBorders>
            <w:tcW w:w="7368" w:type="dxa"/>
            <w:vMerge w:val="continue"/>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r>
            <w:r/>
          </w:p>
        </w:tc>
        <w:tc>
          <w:tcPr>
            <w:shd w:val="clear" w:color="auto" w:fill="auto"/>
            <w:tcBorders>
              <w:top w:val="single" w:color="00000A" w:sz="4" w:space="0"/>
              <w:left w:val="single" w:color="00000A" w:sz="4" w:space="0"/>
              <w:bottom w:val="single" w:color="00000A" w:sz="4" w:space="0"/>
              <w:right w:val="single" w:color="00000A" w:sz="4" w:space="0"/>
            </w:tcBorders>
            <w:tcW w:w="2550" w:type="dxa"/>
            <w:vAlign w:val="center"/>
            <w:textDirection w:val="lrTb"/>
            <w:noWrap w:val="false"/>
          </w:tcPr>
          <w:p>
            <w:pPr>
              <w:ind w:left="309"/>
              <w:jc w:val="center"/>
              <w:spacing w:after="0" w:line="240" w:lineRule="auto"/>
              <w:rPr>
                <w:rFonts w:ascii="Times New Roman" w:hAnsi="Times New Roman" w:cs="Times New Roman"/>
                <w:sz w:val="24"/>
                <w:szCs w:val="24"/>
                <w:highlight w:val="yellow"/>
                <w:lang w:eastAsia="uk-UA"/>
              </w:rPr>
            </w:pPr>
            <w:r>
              <w:rPr>
                <w:rFonts w:ascii="Times New Roman" w:hAnsi="Times New Roman" w:cs="Times New Roman"/>
                <w:sz w:val="24"/>
                <w:szCs w:val="24"/>
                <w:lang w:eastAsia="uk-UA"/>
              </w:rPr>
              <w:t xml:space="preserve">Заміна складових впродовж тижня</w:t>
            </w:r>
            <w:r/>
          </w:p>
        </w:tc>
      </w:tr>
      <w:tr>
        <w:trPr>
          <w:trHeight w:val="465"/>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rPr>
            </w:pPr>
            <w:r>
              <w:rPr>
                <w:rFonts w:ascii="Times New Roman" w:hAnsi="Times New Roman" w:cs="Times New Roman"/>
                <w:sz w:val="24"/>
                <w:szCs w:val="24"/>
              </w:rPr>
              <w:t xml:space="preserve">Забезпечення заміни комплексу або його складових на підмінні на час ремонту. У разі відсутності такого комплекту у Виконавця за умови надання Замовником</w:t>
            </w:r>
            <w:r/>
          </w:p>
        </w:tc>
        <w:tc>
          <w:tcPr>
            <w:shd w:val="clear" w:color="auto" w:fill="auto"/>
            <w:tcBorders>
              <w:top w:val="single" w:color="00000A" w:sz="4" w:space="0"/>
              <w:left w:val="single" w:color="00000A" w:sz="4" w:space="0"/>
              <w:right w:val="single" w:color="00000A" w:sz="4" w:space="0"/>
            </w:tcBorders>
            <w:tcW w:w="2550" w:type="dxa"/>
            <w:vAlign w:val="center"/>
            <w:textDirection w:val="lrTb"/>
            <w:noWrap w:val="false"/>
          </w:tcPr>
          <w:p>
            <w:pPr>
              <w:ind w:left="309"/>
              <w:jc w:val="center"/>
              <w:spacing w:after="0" w:line="240" w:lineRule="auto"/>
              <w:rPr>
                <w:rFonts w:ascii="Times New Roman" w:hAnsi="Times New Roman" w:cs="Times New Roman"/>
                <w:sz w:val="24"/>
                <w:szCs w:val="24"/>
                <w:highlight w:val="yellow"/>
                <w:lang w:eastAsia="uk-UA"/>
              </w:rPr>
            </w:pPr>
            <w:r>
              <w:rPr>
                <w:rFonts w:ascii="Times New Roman" w:hAnsi="Times New Roman" w:cs="Times New Roman"/>
                <w:sz w:val="24"/>
                <w:szCs w:val="24"/>
                <w:lang w:eastAsia="uk-UA"/>
              </w:rPr>
              <w:t xml:space="preserve">При потребі в ремонті, здійсненні демонтажу</w:t>
            </w:r>
            <w:r/>
          </w:p>
        </w:tc>
      </w:tr>
      <w:tr>
        <w:trPr>
          <w:trHeight w:val="465"/>
        </w:trPr>
        <w:tc>
          <w:tcPr>
            <w:shd w:val="clear" w:color="auto" w:fill="auto"/>
            <w:tcBorders>
              <w:top w:val="single" w:color="00000A" w:sz="4" w:space="0"/>
              <w:left w:val="single" w:color="00000A" w:sz="4" w:space="0"/>
              <w:bottom w:val="single" w:color="00000A" w:sz="4" w:space="0"/>
              <w:right w:val="single" w:color="00000A" w:sz="4" w:space="0"/>
            </w:tcBorders>
            <w:tcW w:w="7368" w:type="dxa"/>
            <w:textDirection w:val="lrTb"/>
            <w:noWrap w:val="false"/>
          </w:tcPr>
          <w:p>
            <w:pPr>
              <w:ind w:left="176"/>
              <w:jc w:val="both"/>
              <w:spacing w:after="0" w:line="240" w:lineRule="auto"/>
              <w:shd w:val="clear" w:color="auto" w:fill="ffffff"/>
              <w:tabs>
                <w:tab w:val="left" w:pos="459" w:leader="none"/>
              </w:tabs>
              <w:rPr>
                <w:rFonts w:ascii="Times New Roman" w:hAnsi="Times New Roman" w:cs="Times New Roman"/>
                <w:sz w:val="24"/>
                <w:szCs w:val="24"/>
                <w:highlight w:val="yellow"/>
              </w:rPr>
            </w:pPr>
            <w:r>
              <w:rPr>
                <w:rFonts w:ascii="Times New Roman" w:hAnsi="Times New Roman" w:cs="Times New Roman"/>
                <w:sz w:val="24"/>
                <w:szCs w:val="24"/>
              </w:rPr>
              <w:t xml:space="preserve">Перевірка належної якості витратних матеріалів та несення матеріальної відповідальності у разі використання неякісних матеріалів шляхом заміни вузлів і дета</w:t>
            </w:r>
            <w:r>
              <w:rPr>
                <w:rFonts w:ascii="Times New Roman" w:hAnsi="Times New Roman" w:cs="Times New Roman"/>
                <w:sz w:val="24"/>
                <w:szCs w:val="24"/>
              </w:rPr>
              <w:t xml:space="preserve">лей якісними за власний рахунок. Примітка: перевірка Виконавцем також матеріалів наданих Замовником та несення Виконавцем матеріальної відповідальності у разі неповідомлення Замовнику про потребу у заміні наданих матеріалів на еквівалентні якісні матеріали</w:t>
            </w:r>
            <w:r/>
          </w:p>
        </w:tc>
        <w:tc>
          <w:tcPr>
            <w:shd w:val="clear" w:color="auto" w:fill="auto"/>
            <w:tcBorders>
              <w:left w:val="single" w:color="00000A" w:sz="4" w:space="0"/>
              <w:bottom w:val="single" w:color="00000A" w:sz="4" w:space="0"/>
              <w:right w:val="single" w:color="00000A" w:sz="4" w:space="0"/>
            </w:tcBorders>
            <w:tcW w:w="2550" w:type="dxa"/>
            <w:vAlign w:val="center"/>
            <w:textDirection w:val="lrTb"/>
            <w:noWrap w:val="false"/>
          </w:tcPr>
          <w:p>
            <w:pPr>
              <w:ind w:left="309"/>
              <w:jc w:val="center"/>
              <w:spacing w:after="0" w:line="240" w:lineRule="auto"/>
              <w:rPr>
                <w:rFonts w:ascii="Times New Roman" w:hAnsi="Times New Roman" w:cs="Times New Roman"/>
                <w:sz w:val="24"/>
                <w:szCs w:val="24"/>
                <w:highlight w:val="yellow"/>
                <w:lang w:eastAsia="uk-UA"/>
              </w:rPr>
            </w:pPr>
            <w:r>
              <w:rPr>
                <w:rFonts w:ascii="Times New Roman" w:hAnsi="Times New Roman" w:cs="Times New Roman"/>
                <w:sz w:val="24"/>
                <w:szCs w:val="24"/>
                <w:lang w:eastAsia="uk-UA"/>
              </w:rPr>
              <w:t xml:space="preserve">При заміні складових впродовж тижня або при ремонті комплексу</w:t>
            </w:r>
            <w:r/>
          </w:p>
        </w:tc>
      </w:tr>
    </w:tbl>
    <w:p>
      <w:pPr>
        <w:ind w:left="360"/>
        <w:spacing w:after="0" w:line="240" w:lineRule="auto"/>
        <w:rPr>
          <w:rFonts w:ascii="Times New Roman" w:hAnsi="Times New Roman" w:cs="Times New Roman"/>
          <w:b/>
          <w:bCs/>
          <w:sz w:val="24"/>
          <w:szCs w:val="24"/>
          <w:lang w:eastAsia="uk-UA"/>
        </w:rPr>
      </w:pPr>
      <w:r>
        <w:rPr>
          <w:rFonts w:ascii="Times New Roman" w:hAnsi="Times New Roman" w:cs="Times New Roman"/>
          <w:b/>
          <w:bCs/>
          <w:sz w:val="24"/>
          <w:szCs w:val="24"/>
          <w:lang w:eastAsia="uk-UA"/>
        </w:rPr>
      </w:r>
      <w:r/>
    </w:p>
    <w:p>
      <w:pPr>
        <w:ind w:left="360"/>
        <w:spacing w:after="0" w:line="240" w:lineRule="auto"/>
        <w:rPr>
          <w:rFonts w:ascii="Times New Roman" w:hAnsi="Times New Roman" w:cs="Times New Roman"/>
          <w:b/>
          <w:sz w:val="24"/>
          <w:szCs w:val="24"/>
          <w:lang w:eastAsia="uk-UA"/>
        </w:rPr>
      </w:pPr>
      <w:r>
        <w:rPr>
          <w:rFonts w:ascii="Times New Roman" w:hAnsi="Times New Roman" w:cs="Times New Roman"/>
          <w:b/>
          <w:sz w:val="24"/>
          <w:szCs w:val="24"/>
          <w:lang w:eastAsia="uk-UA"/>
        </w:rPr>
        <w:t xml:space="preserve">4. Вимоги до послуг із супроводження та технічного обслуговування</w:t>
      </w:r>
      <w:r>
        <w:rPr>
          <w:rFonts w:ascii="Times New Roman" w:hAnsi="Times New Roman" w:cs="Times New Roman"/>
          <w:sz w:val="24"/>
          <w:szCs w:val="24"/>
          <w:lang w:eastAsia="uk-UA"/>
        </w:rPr>
        <w:t xml:space="preserve"> </w:t>
      </w:r>
      <w:r>
        <w:rPr>
          <w:rFonts w:ascii="Times New Roman" w:hAnsi="Times New Roman" w:cs="Times New Roman"/>
          <w:b/>
          <w:bCs/>
          <w:sz w:val="24"/>
          <w:szCs w:val="24"/>
          <w:lang w:eastAsia="uk-UA"/>
        </w:rPr>
        <w:t xml:space="preserve">Програмно-апаратних</w:t>
      </w:r>
      <w:r>
        <w:rPr>
          <w:rFonts w:ascii="Times New Roman" w:hAnsi="Times New Roman" w:cs="Times New Roman"/>
          <w:sz w:val="24"/>
          <w:szCs w:val="24"/>
          <w:lang w:eastAsia="uk-UA"/>
        </w:rPr>
        <w:t xml:space="preserve"> </w:t>
      </w:r>
      <w:r>
        <w:rPr>
          <w:rFonts w:ascii="Times New Roman" w:hAnsi="Times New Roman" w:cs="Times New Roman"/>
          <w:b/>
          <w:sz w:val="24"/>
          <w:szCs w:val="24"/>
          <w:lang w:eastAsia="uk-UA"/>
        </w:rPr>
        <w:t xml:space="preserve">комплексів автоматичної фото</w:t>
      </w:r>
      <w:r>
        <w:rPr>
          <w:rFonts w:ascii="Times New Roman" w:hAnsi="Times New Roman" w:cs="Times New Roman"/>
          <w:b/>
          <w:sz w:val="24"/>
          <w:szCs w:val="24"/>
          <w:lang w:val="en-US" w:eastAsia="uk-UA"/>
        </w:rPr>
        <w:t xml:space="preserve">-</w:t>
      </w:r>
      <w:r>
        <w:rPr>
          <w:rFonts w:ascii="Times New Roman" w:hAnsi="Times New Roman" w:cs="Times New Roman"/>
          <w:b/>
          <w:sz w:val="24"/>
          <w:szCs w:val="24"/>
          <w:lang w:eastAsia="uk-UA"/>
        </w:rPr>
        <w:t xml:space="preserve">/</w:t>
      </w:r>
      <w:r>
        <w:rPr>
          <w:rFonts w:ascii="Times New Roman" w:hAnsi="Times New Roman" w:cs="Times New Roman"/>
          <w:b/>
          <w:sz w:val="24"/>
          <w:szCs w:val="24"/>
          <w:lang w:eastAsia="uk-UA"/>
        </w:rPr>
        <w:t xml:space="preserve">відеофіксації</w:t>
      </w:r>
      <w:r>
        <w:rPr>
          <w:rFonts w:ascii="Times New Roman" w:hAnsi="Times New Roman" w:cs="Times New Roman"/>
          <w:b/>
          <w:sz w:val="24"/>
          <w:szCs w:val="24"/>
          <w:lang w:eastAsia="uk-UA"/>
        </w:rPr>
        <w:t xml:space="preserve"> правопорушень у сфері безпеки дорожнього руху «HOAG-50/1» .</w:t>
      </w:r>
      <w:r/>
    </w:p>
    <w:p>
      <w:pPr>
        <w:numPr>
          <w:ilvl w:val="0"/>
          <w:numId w:val="44"/>
        </w:numPr>
        <w:contextualSpacing/>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 xml:space="preserve">Технічне о</w:t>
      </w:r>
      <w:r>
        <w:rPr>
          <w:rFonts w:ascii="Times New Roman" w:hAnsi="Times New Roman" w:eastAsia="Calibri" w:cs="Times New Roman"/>
          <w:sz w:val="24"/>
          <w:szCs w:val="24"/>
          <w:shd w:val="clear" w:color="auto" w:fill="ffffff"/>
        </w:rPr>
        <w:t xml:space="preserve">бслуговування Комплексів «HOAG-50/1» здійснюють уповноважені кваліфіковані фахівці з підтверджуючим посвідченням, та/або сертифікатом, та/або дипломом, та/або договором, тощо, виданих виробником або офіційним представником виробника Комплексів «HOAG-50/1».</w:t>
      </w:r>
      <w:r/>
    </w:p>
    <w:p>
      <w:pPr>
        <w:numPr>
          <w:ilvl w:val="0"/>
          <w:numId w:val="44"/>
        </w:numPr>
        <w:contextualSpacing/>
        <w:jc w:val="both"/>
        <w:spacing w:after="0" w:line="240" w:lineRule="auto"/>
        <w:rPr>
          <w:rFonts w:ascii="Times New Roman" w:hAnsi="Times New Roman" w:eastAsia="Calibri" w:cs="Times New Roman"/>
          <w:sz w:val="24"/>
          <w:szCs w:val="24"/>
        </w:rPr>
      </w:pPr>
      <w:r>
        <w:rPr>
          <w:rFonts w:ascii="Times New Roman" w:hAnsi="Times New Roman" w:cs="Times New Roman"/>
          <w:sz w:val="24"/>
          <w:szCs w:val="24"/>
        </w:rPr>
        <w:t xml:space="preserve">Під час </w:t>
      </w:r>
      <w:r>
        <w:rPr>
          <w:rFonts w:ascii="Times New Roman" w:hAnsi="Times New Roman" w:eastAsia="Calibri" w:cs="Times New Roman"/>
          <w:sz w:val="24"/>
          <w:szCs w:val="24"/>
          <w:shd w:val="clear" w:color="auto" w:fill="ffffff"/>
        </w:rPr>
        <w:t xml:space="preserve">надання послуг з технічної експлуата</w:t>
      </w:r>
      <w:r>
        <w:rPr>
          <w:rFonts w:ascii="Times New Roman" w:hAnsi="Times New Roman" w:eastAsia="Calibri" w:cs="Times New Roman"/>
          <w:sz w:val="24"/>
          <w:szCs w:val="24"/>
          <w:shd w:val="clear" w:color="auto" w:fill="ffffff"/>
        </w:rPr>
        <w:t xml:space="preserve">ції Виконавцем використовуються власні матеріали, інструмент, обладнання та механізми, транспорт та засоби вимірювань потрібні для надання послуг та підтримання працездатності Комплексів «HOAG-50/1», відповідно до технічної та експлуатаційної документації.</w:t>
      </w:r>
      <w:r/>
    </w:p>
    <w:p>
      <w:pPr>
        <w:numPr>
          <w:ilvl w:val="0"/>
          <w:numId w:val="44"/>
        </w:num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eastAsia="Calibri" w:cs="Times New Roman"/>
          <w:sz w:val="24"/>
          <w:szCs w:val="24"/>
          <w:shd w:val="clear" w:color="auto" w:fill="ffffff"/>
        </w:rPr>
        <w:t xml:space="preserve">Результати послуг заносяться в журнали технічного стану (формуляр). </w:t>
      </w:r>
      <w:r/>
    </w:p>
    <w:p>
      <w:pPr>
        <w:numPr>
          <w:ilvl w:val="0"/>
          <w:numId w:val="44"/>
        </w:numPr>
        <w:contextualSpacing/>
        <w:jc w:val="both"/>
        <w:spacing w:after="0" w:line="240" w:lineRule="auto"/>
        <w:shd w:val="clear" w:color="auto" w:fill="ffffff"/>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 xml:space="preserve">По результатам виконаних послуг Виконавцем складається </w:t>
      </w:r>
      <w:r>
        <w:rPr>
          <w:rFonts w:ascii="Times New Roman" w:hAnsi="Times New Roman" w:eastAsia="Calibri" w:cs="Times New Roman"/>
          <w:b/>
          <w:bCs/>
          <w:sz w:val="24"/>
          <w:szCs w:val="24"/>
          <w:shd w:val="clear" w:color="auto" w:fill="ffffff"/>
        </w:rPr>
        <w:t xml:space="preserve">Акт обстеження</w:t>
      </w:r>
      <w:r>
        <w:rPr>
          <w:rFonts w:ascii="Times New Roman" w:hAnsi="Times New Roman" w:eastAsia="Calibri" w:cs="Times New Roman"/>
          <w:sz w:val="24"/>
          <w:szCs w:val="24"/>
          <w:shd w:val="clear" w:color="auto" w:fill="ffffff"/>
        </w:rPr>
        <w:t xml:space="preserve"> з інформацією стосовно кожного Комплексу «HOAG-50/1»:</w:t>
      </w:r>
      <w:r/>
    </w:p>
    <w:p>
      <w:pPr>
        <w:contextualSpacing/>
        <w:ind w:left="720"/>
        <w:jc w:val="both"/>
        <w:spacing w:after="0" w:line="240" w:lineRule="auto"/>
        <w:shd w:val="clear" w:color="auto" w:fill="ffffff"/>
        <w:rPr>
          <w:rFonts w:ascii="Times New Roman" w:hAnsi="Times New Roman" w:cs="Times New Roman"/>
          <w:sz w:val="24"/>
          <w:szCs w:val="24"/>
        </w:rPr>
      </w:pPr>
      <w:r>
        <w:rPr>
          <w:rFonts w:ascii="Times New Roman" w:hAnsi="Times New Roman" w:eastAsia="Calibri" w:cs="Times New Roman"/>
          <w:sz w:val="24"/>
          <w:szCs w:val="24"/>
          <w:shd w:val="clear" w:color="auto" w:fill="ffffff"/>
        </w:rPr>
        <w:t xml:space="preserve">- </w:t>
      </w:r>
      <w:r>
        <w:rPr>
          <w:rFonts w:ascii="Times New Roman" w:hAnsi="Times New Roman" w:cs="Times New Roman"/>
          <w:sz w:val="24"/>
          <w:szCs w:val="24"/>
        </w:rPr>
        <w:t xml:space="preserve">результати технічного обстеження;</w:t>
      </w:r>
      <w:r/>
    </w:p>
    <w:p>
      <w:pPr>
        <w:contextualSpacing/>
        <w:ind w:left="720"/>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оцінка технічного стану;</w:t>
      </w:r>
      <w:r/>
    </w:p>
    <w:p>
      <w:pPr>
        <w:contextualSpacing/>
        <w:ind w:left="720"/>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t xml:space="preserve">- рекомендації щодо подальшої експлуатації, ремонту, реконструкції, відновлення, оновлення, заміни або виведення з експлуатації.</w:t>
      </w:r>
      <w:r/>
    </w:p>
    <w:p>
      <w:pPr>
        <w:numPr>
          <w:ilvl w:val="0"/>
          <w:numId w:val="44"/>
        </w:numPr>
        <w:contextualSpacing/>
        <w:jc w:val="both"/>
        <w:spacing w:after="0" w:line="240" w:lineRule="auto"/>
        <w:rPr>
          <w:rFonts w:ascii="Times New Roman" w:hAnsi="Times New Roman" w:eastAsia="Calibri" w:cs="Times New Roman"/>
          <w:sz w:val="24"/>
          <w:szCs w:val="24"/>
        </w:rPr>
      </w:pPr>
      <w:r>
        <w:rPr>
          <w:rFonts w:ascii="Times New Roman" w:hAnsi="Times New Roman" w:eastAsia="Calibri" w:cs="Times New Roman"/>
          <w:sz w:val="24"/>
          <w:szCs w:val="24"/>
          <w:shd w:val="clear" w:color="auto" w:fill="ffffff"/>
        </w:rPr>
        <w:t xml:space="preserve"> Усі послуги з технічної експлуатації виконуються з дотриманням </w:t>
      </w:r>
      <w:hyperlink r:id="rId11" w:tooltip="https://zakon.rada.gov.ua/laws/show/z0093-98" w:history="1">
        <w:r>
          <w:rPr>
            <w:rFonts w:ascii="Times New Roman" w:hAnsi="Times New Roman" w:eastAsia="Calibri" w:cs="Times New Roman"/>
            <w:sz w:val="24"/>
            <w:szCs w:val="24"/>
            <w:shd w:val="clear" w:color="auto" w:fill="ffffff"/>
          </w:rPr>
          <w:t xml:space="preserve">Правил безпечної експлуатації електроустановок споживачів</w:t>
        </w:r>
      </w:hyperlink>
      <w:r>
        <w:rPr>
          <w:rFonts w:ascii="Times New Roman" w:hAnsi="Times New Roman" w:eastAsia="Calibri" w:cs="Times New Roman"/>
          <w:sz w:val="24"/>
          <w:szCs w:val="24"/>
          <w:shd w:val="clear" w:color="auto" w:fill="ffffff"/>
        </w:rPr>
        <w:t xml:space="preserve">, затверджених наказом Комітету по нагляду за охороною праці Міністерства праці та соціальної політики України від 09 січня 1998 року № 4, зареєстрованих у Міністерстві юстиції України 10 лютого 1998 року за </w:t>
      </w:r>
      <w:r>
        <w:rPr>
          <w:rFonts w:ascii="Times New Roman" w:hAnsi="Times New Roman" w:eastAsia="Calibri" w:cs="Times New Roman"/>
          <w:sz w:val="24"/>
          <w:szCs w:val="24"/>
          <w:shd w:val="clear" w:color="auto" w:fill="ffffff"/>
        </w:rPr>
        <w:br/>
        <w:t xml:space="preserve">№ 93/2533, </w:t>
      </w:r>
      <w:hyperlink r:id="rId12" w:tooltip="https://zakon.rada.gov.ua/laws/show/z0252-15#_blank" w:anchor="_blank" w:history="1">
        <w:r>
          <w:rPr>
            <w:rFonts w:ascii="Times New Roman" w:hAnsi="Times New Roman" w:eastAsia="Calibri" w:cs="Times New Roman"/>
            <w:sz w:val="24"/>
            <w:szCs w:val="24"/>
          </w:rPr>
          <w:t xml:space="preserve">Правил пожежної безпеки в Україні</w:t>
        </w:r>
      </w:hyperlink>
      <w:r>
        <w:rPr>
          <w:rFonts w:ascii="Times New Roman" w:hAnsi="Times New Roman" w:eastAsia="Calibri" w:cs="Times New Roman"/>
          <w:sz w:val="24"/>
          <w:szCs w:val="24"/>
          <w:shd w:val="clear" w:color="auto" w:fill="ffffff"/>
        </w:rPr>
        <w:t xml:space="preserve">, затверджени</w:t>
      </w:r>
      <w:r>
        <w:rPr>
          <w:rFonts w:ascii="Times New Roman" w:hAnsi="Times New Roman" w:eastAsia="Calibri" w:cs="Times New Roman"/>
          <w:sz w:val="24"/>
          <w:szCs w:val="24"/>
          <w:shd w:val="clear" w:color="auto" w:fill="ffffff"/>
        </w:rPr>
        <w:t xml:space="preserve">х наказом Міністерства внутрішніх справ України від 30 грудня 2014 року № 1417, зареєстрованих у Міністерстві юстиції України 05 березня 2015 року за № 252/26697 (із змінами), національних стандартів, експлуатаційної документації до Комплексів «HOAG-50/1».</w:t>
      </w:r>
      <w:r/>
    </w:p>
    <w:p>
      <w:pPr>
        <w:numPr>
          <w:ilvl w:val="0"/>
          <w:numId w:val="44"/>
        </w:numPr>
        <w:contextualSpacing/>
        <w:jc w:val="both"/>
        <w:spacing w:after="0" w:line="240" w:lineRule="auto"/>
        <w:rPr>
          <w:rFonts w:ascii="Times New Roman" w:hAnsi="Times New Roman" w:eastAsia="Calibri" w:cs="Times New Roman"/>
          <w:sz w:val="24"/>
          <w:szCs w:val="24"/>
          <w:highlight w:val="white"/>
        </w:rPr>
      </w:pPr>
      <w:r>
        <w:rPr>
          <w:rFonts w:ascii="Times New Roman" w:hAnsi="Times New Roman" w:eastAsia="Calibri" w:cs="Times New Roman"/>
          <w:sz w:val="24"/>
          <w:szCs w:val="24"/>
          <w:shd w:val="clear" w:color="auto" w:fill="ffffff"/>
        </w:rPr>
        <w:t xml:space="preserve">Виконавець забезпечує та несе відповідальність за проходження навчань та інструктажів з охорони праці та пожежної безпеки і одержання в установленому порядку допуску до проведення робіт працівниками, що залучені до надання послуг.</w:t>
      </w:r>
      <w:r/>
    </w:p>
    <w:p>
      <w:pPr>
        <w:contextualSpacing/>
        <w:rPr>
          <w:b/>
          <w:sz w:val="24"/>
          <w:szCs w:val="24"/>
        </w:rPr>
      </w:pPr>
      <w:r>
        <w:rPr>
          <w:b/>
          <w:sz w:val="24"/>
          <w:szCs w:val="24"/>
        </w:rPr>
      </w:r>
      <w:r/>
    </w:p>
    <w:p>
      <w:pPr>
        <w:jc w:val="cente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Додаткова інформація.</w:t>
      </w:r>
      <w:r/>
    </w:p>
    <w:p>
      <w:pPr>
        <w:ind w:firstLine="709"/>
        <w:jc w:val="both"/>
        <w:spacing w:after="0" w:line="240" w:lineRule="auto"/>
        <w:rPr>
          <w:rFonts w:ascii="Times New Roman" w:hAnsi="Times New Roman" w:cs="Times New Roman"/>
          <w:bCs/>
          <w:i/>
          <w:iCs/>
          <w:sz w:val="24"/>
          <w:szCs w:val="24"/>
          <w:lang w:eastAsia="uk-UA"/>
        </w:rPr>
      </w:pPr>
      <w:r>
        <w:rPr>
          <w:rFonts w:ascii="Times New Roman" w:hAnsi="Times New Roman" w:cs="Times New Roman"/>
          <w:bCs/>
          <w:i/>
          <w:iCs/>
          <w:sz w:val="24"/>
          <w:szCs w:val="24"/>
          <w:lang w:eastAsia="uk-UA"/>
        </w:rPr>
        <w:t xml:space="preserve">У разі використання в тендерній документації посилання на стандартні х</w:t>
      </w:r>
      <w:r>
        <w:rPr>
          <w:rFonts w:ascii="Times New Roman" w:hAnsi="Times New Roman" w:cs="Times New Roman"/>
          <w:bCs/>
          <w:i/>
          <w:iCs/>
          <w:sz w:val="24"/>
          <w:szCs w:val="24"/>
          <w:lang w:eastAsia="uk-UA"/>
        </w:rPr>
        <w:t xml:space="preserve">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w:t>
      </w:r>
      <w:r>
        <w:rPr>
          <w:rFonts w:ascii="Times New Roman" w:hAnsi="Times New Roman" w:cs="Times New Roman"/>
          <w:bCs/>
          <w:i/>
          <w:iCs/>
          <w:sz w:val="24"/>
          <w:szCs w:val="24"/>
          <w:lang w:eastAsia="uk-UA"/>
        </w:rPr>
        <w:t xml:space="preserve">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після такого посилання слід читати вираз "або еквівалент".</w:t>
      </w:r>
      <w:r/>
    </w:p>
    <w:p>
      <w:pPr>
        <w:ind w:right="-1"/>
        <w:jc w:val="both"/>
        <w:spacing w:after="0" w:line="240" w:lineRule="auto"/>
        <w:widowControl w:val="off"/>
        <w:rPr>
          <w:rFonts w:ascii="Times New Roman" w:hAnsi="Times New Roman" w:cs="Times New Roman"/>
          <w:bCs/>
          <w:sz w:val="24"/>
          <w:szCs w:val="24"/>
        </w:rPr>
      </w:pPr>
      <w:r>
        <w:rPr>
          <w:rFonts w:ascii="Times New Roman" w:hAnsi="Times New Roman" w:cs="Times New Roman"/>
          <w:bCs/>
          <w:i/>
          <w:iCs/>
          <w:sz w:val="24"/>
          <w:szCs w:val="24"/>
          <w:lang w:eastAsia="uk-UA"/>
        </w:rPr>
        <w:t xml:space="preserve">У разі використання в тендерній документації посилання на конкретні марку ч</w:t>
      </w:r>
      <w:r>
        <w:rPr>
          <w:rFonts w:ascii="Times New Roman" w:hAnsi="Times New Roman" w:cs="Times New Roman"/>
          <w:bCs/>
          <w:i/>
          <w:iCs/>
          <w:sz w:val="24"/>
          <w:szCs w:val="24"/>
          <w:lang w:eastAsia="uk-UA"/>
        </w:rPr>
        <w:t xml:space="preserve">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після такого посилання слід читати вираз "або еквівалент"</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1 632 960,00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один мільйон шістсот тридцять дві тисячі дев’ятсот шістдесят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w:t>
      </w:r>
      <w:r>
        <w:rPr>
          <w:rFonts w:ascii="Times New Roman" w:hAnsi="Times New Roman" w:eastAsia="Times New Roman" w:cs="Times New Roman"/>
          <w:sz w:val="24"/>
          <w:szCs w:val="24"/>
          <w:lang w:eastAsia="ru-RU"/>
        </w:rPr>
        <w:t xml:space="preserve">документів поданих Ініціатором закупівлі.</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4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1"/>
      <w:numFmt w:val="bullet"/>
      <w:isLgl w:val="false"/>
      <w:suff w:val="tab"/>
      <w:lvlText w:val=""/>
      <w:lvlJc w:val="left"/>
      <w:pPr>
        <w:ind w:left="1069" w:hanging="360"/>
      </w:pPr>
      <w:rPr>
        <w:rFonts w:hint="default" w:ascii="Symbol" w:hAnsi="Symbol" w:cs="Symbol"/>
        <w:sz w:val="24"/>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cs="Wingdings"/>
      </w:rPr>
    </w:lvl>
    <w:lvl w:ilvl="3">
      <w:start w:val="1"/>
      <w:numFmt w:val="bullet"/>
      <w:isLgl w:val="false"/>
      <w:suff w:val="tab"/>
      <w:lvlText w:val=""/>
      <w:lvlJc w:val="left"/>
      <w:pPr>
        <w:ind w:left="2880" w:hanging="360"/>
      </w:pPr>
      <w:rPr>
        <w:rFonts w:hint="default" w:ascii="Symbol" w:hAnsi="Symbol" w:cs="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cs="Wingdings"/>
      </w:rPr>
    </w:lvl>
    <w:lvl w:ilvl="6">
      <w:start w:val="1"/>
      <w:numFmt w:val="bullet"/>
      <w:isLgl w:val="false"/>
      <w:suff w:val="tab"/>
      <w:lvlText w:val=""/>
      <w:lvlJc w:val="left"/>
      <w:pPr>
        <w:ind w:left="5040" w:hanging="360"/>
      </w:pPr>
      <w:rPr>
        <w:rFonts w:hint="default" w:ascii="Symbol" w:hAnsi="Symbol" w:cs="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cs="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decimal"/>
      <w:isLgl w:val="false"/>
      <w:suff w:val="tab"/>
      <w:lvlText w:val="%1."/>
      <w:lvlJc w:val="left"/>
      <w:pPr>
        <w:ind w:left="524" w:hanging="360"/>
      </w:pPr>
      <w:rPr>
        <w:rFonts w:hint="default"/>
        <w:b w:val="0"/>
      </w:rPr>
    </w:lvl>
    <w:lvl w:ilvl="1">
      <w:start w:val="1"/>
      <w:numFmt w:val="lowerLetter"/>
      <w:isLgl w:val="false"/>
      <w:suff w:val="tab"/>
      <w:lvlText w:val="%2."/>
      <w:lvlJc w:val="left"/>
      <w:pPr>
        <w:ind w:left="1244" w:hanging="360"/>
      </w:pPr>
    </w:lvl>
    <w:lvl w:ilvl="2">
      <w:start w:val="1"/>
      <w:numFmt w:val="lowerRoman"/>
      <w:isLgl w:val="false"/>
      <w:suff w:val="tab"/>
      <w:lvlText w:val="%3."/>
      <w:lvlJc w:val="right"/>
      <w:pPr>
        <w:ind w:left="1964" w:hanging="180"/>
      </w:pPr>
    </w:lvl>
    <w:lvl w:ilvl="3">
      <w:start w:val="1"/>
      <w:numFmt w:val="decimal"/>
      <w:isLgl w:val="false"/>
      <w:suff w:val="tab"/>
      <w:lvlText w:val="%4."/>
      <w:lvlJc w:val="left"/>
      <w:pPr>
        <w:ind w:left="2684" w:hanging="360"/>
      </w:pPr>
    </w:lvl>
    <w:lvl w:ilvl="4">
      <w:start w:val="1"/>
      <w:numFmt w:val="lowerLetter"/>
      <w:isLgl w:val="false"/>
      <w:suff w:val="tab"/>
      <w:lvlText w:val="%5."/>
      <w:lvlJc w:val="left"/>
      <w:pPr>
        <w:ind w:left="3404" w:hanging="360"/>
      </w:pPr>
    </w:lvl>
    <w:lvl w:ilvl="5">
      <w:start w:val="1"/>
      <w:numFmt w:val="lowerRoman"/>
      <w:isLgl w:val="false"/>
      <w:suff w:val="tab"/>
      <w:lvlText w:val="%6."/>
      <w:lvlJc w:val="right"/>
      <w:pPr>
        <w:ind w:left="4124" w:hanging="180"/>
      </w:pPr>
    </w:lvl>
    <w:lvl w:ilvl="6">
      <w:start w:val="1"/>
      <w:numFmt w:val="decimal"/>
      <w:isLgl w:val="false"/>
      <w:suff w:val="tab"/>
      <w:lvlText w:val="%7."/>
      <w:lvlJc w:val="left"/>
      <w:pPr>
        <w:ind w:left="4844" w:hanging="360"/>
      </w:pPr>
    </w:lvl>
    <w:lvl w:ilvl="7">
      <w:start w:val="1"/>
      <w:numFmt w:val="lowerLetter"/>
      <w:isLgl w:val="false"/>
      <w:suff w:val="tab"/>
      <w:lvlText w:val="%8."/>
      <w:lvlJc w:val="left"/>
      <w:pPr>
        <w:ind w:left="5564" w:hanging="360"/>
      </w:pPr>
    </w:lvl>
    <w:lvl w:ilvl="8">
      <w:start w:val="1"/>
      <w:numFmt w:val="lowerRoman"/>
      <w:isLgl w:val="false"/>
      <w:suff w:val="tab"/>
      <w:lvlText w:val="%9."/>
      <w:lvlJc w:val="right"/>
      <w:pPr>
        <w:ind w:left="6284" w:hanging="180"/>
      </w:pPr>
    </w:lvl>
  </w:abstractNum>
  <w:abstractNum w:abstractNumId="22">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5">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6">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8">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9">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4">
    <w:multiLevelType w:val="hybridMultilevel"/>
    <w:lvl w:ilvl="0">
      <w:start w:val="1"/>
      <w:numFmt w:val="decimal"/>
      <w:isLgl w:val="false"/>
      <w:suff w:val="tab"/>
      <w:lvlText w:val="%1."/>
      <w:lvlJc w:val="left"/>
      <w:pPr>
        <w:ind w:left="720" w:hanging="360"/>
      </w:pPr>
      <w:rPr>
        <w:sz w:val="24"/>
        <w:szCs w:val="24"/>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9">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4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42">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43">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6"/>
  </w:num>
  <w:num w:numId="2">
    <w:abstractNumId w:val="20"/>
  </w:num>
  <w:num w:numId="3">
    <w:abstractNumId w:val="8"/>
  </w:num>
  <w:num w:numId="4">
    <w:abstractNumId w:val="29"/>
  </w:num>
  <w:num w:numId="5">
    <w:abstractNumId w:val="7"/>
  </w:num>
  <w:num w:numId="6">
    <w:abstractNumId w:val="37"/>
  </w:num>
  <w:num w:numId="7">
    <w:abstractNumId w:val="11"/>
  </w:num>
  <w:num w:numId="8">
    <w:abstractNumId w:val="39"/>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8"/>
  </w:num>
  <w:num w:numId="17">
    <w:abstractNumId w:val="1"/>
  </w:num>
  <w:num w:numId="18">
    <w:abstractNumId w:val="43"/>
  </w:num>
  <w:num w:numId="19">
    <w:abstractNumId w:val="30"/>
  </w:num>
  <w:num w:numId="2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31"/>
  </w:num>
  <w:num w:numId="25">
    <w:abstractNumId w:val="23"/>
  </w:num>
  <w:num w:numId="26">
    <w:abstractNumId w:val="26"/>
  </w:num>
  <w:num w:numId="27">
    <w:abstractNumId w:val="33"/>
  </w:num>
  <w:num w:numId="28">
    <w:abstractNumId w:val="24"/>
  </w:num>
  <w:num w:numId="29">
    <w:abstractNumId w:val="35"/>
  </w:num>
  <w:num w:numId="30">
    <w:abstractNumId w:val="18"/>
  </w:num>
  <w:num w:numId="31">
    <w:abstractNumId w:val="3"/>
  </w:num>
  <w:num w:numId="32">
    <w:abstractNumId w:val="22"/>
  </w:num>
  <w:num w:numId="33">
    <w:abstractNumId w:val="17"/>
  </w:num>
  <w:num w:numId="34">
    <w:abstractNumId w:val="15"/>
  </w:num>
  <w:num w:numId="35">
    <w:abstractNumId w:val="41"/>
  </w:num>
  <w:num w:numId="36">
    <w:abstractNumId w:val="5"/>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42"/>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2"/>
  </w:num>
  <w:num w:numId="42">
    <w:abstractNumId w:val="19"/>
  </w:num>
  <w:num w:numId="43">
    <w:abstractNumId w:val="13"/>
  </w:num>
  <w:num w:numId="44">
    <w:abstractNumId w:val="34"/>
  </w:num>
  <w:num w:numId="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33"/>
    <w:next w:val="733"/>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37"/>
    <w:link w:val="12"/>
    <w:uiPriority w:val="9"/>
    <w:rPr>
      <w:rFonts w:ascii="Arial" w:hAnsi="Arial" w:eastAsia="Arial" w:cs="Arial"/>
      <w:sz w:val="40"/>
      <w:szCs w:val="40"/>
    </w:rPr>
  </w:style>
  <w:style w:type="character" w:styleId="15">
    <w:name w:val="Heading 2 Char"/>
    <w:basedOn w:val="737"/>
    <w:link w:val="734"/>
    <w:uiPriority w:val="9"/>
    <w:rPr>
      <w:rFonts w:ascii="Arial" w:hAnsi="Arial" w:eastAsia="Arial" w:cs="Arial"/>
      <w:sz w:val="34"/>
    </w:rPr>
  </w:style>
  <w:style w:type="character" w:styleId="17">
    <w:name w:val="Heading 3 Char"/>
    <w:basedOn w:val="737"/>
    <w:link w:val="735"/>
    <w:uiPriority w:val="9"/>
    <w:rPr>
      <w:rFonts w:ascii="Arial" w:hAnsi="Arial" w:eastAsia="Arial" w:cs="Arial"/>
      <w:sz w:val="30"/>
      <w:szCs w:val="30"/>
    </w:rPr>
  </w:style>
  <w:style w:type="character" w:styleId="19">
    <w:name w:val="Heading 4 Char"/>
    <w:basedOn w:val="737"/>
    <w:link w:val="736"/>
    <w:uiPriority w:val="9"/>
    <w:rPr>
      <w:rFonts w:ascii="Arial" w:hAnsi="Arial" w:eastAsia="Arial" w:cs="Arial"/>
      <w:b/>
      <w:bCs/>
      <w:sz w:val="26"/>
      <w:szCs w:val="26"/>
    </w:rPr>
  </w:style>
  <w:style w:type="paragraph" w:styleId="20">
    <w:name w:val="Heading 5"/>
    <w:basedOn w:val="733"/>
    <w:next w:val="733"/>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37"/>
    <w:link w:val="20"/>
    <w:uiPriority w:val="9"/>
    <w:rPr>
      <w:rFonts w:ascii="Arial" w:hAnsi="Arial" w:eastAsia="Arial" w:cs="Arial"/>
      <w:b/>
      <w:bCs/>
      <w:sz w:val="24"/>
      <w:szCs w:val="24"/>
    </w:rPr>
  </w:style>
  <w:style w:type="paragraph" w:styleId="22">
    <w:name w:val="Heading 6"/>
    <w:basedOn w:val="733"/>
    <w:next w:val="733"/>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37"/>
    <w:link w:val="22"/>
    <w:uiPriority w:val="9"/>
    <w:rPr>
      <w:rFonts w:ascii="Arial" w:hAnsi="Arial" w:eastAsia="Arial" w:cs="Arial"/>
      <w:b/>
      <w:bCs/>
      <w:sz w:val="22"/>
      <w:szCs w:val="22"/>
    </w:rPr>
  </w:style>
  <w:style w:type="paragraph" w:styleId="24">
    <w:name w:val="Heading 7"/>
    <w:basedOn w:val="733"/>
    <w:next w:val="733"/>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37"/>
    <w:link w:val="24"/>
    <w:uiPriority w:val="9"/>
    <w:rPr>
      <w:rFonts w:ascii="Arial" w:hAnsi="Arial" w:eastAsia="Arial" w:cs="Arial"/>
      <w:b/>
      <w:bCs/>
      <w:i/>
      <w:iCs/>
      <w:sz w:val="22"/>
      <w:szCs w:val="22"/>
    </w:rPr>
  </w:style>
  <w:style w:type="paragraph" w:styleId="26">
    <w:name w:val="Heading 8"/>
    <w:basedOn w:val="733"/>
    <w:next w:val="733"/>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37"/>
    <w:link w:val="26"/>
    <w:uiPriority w:val="9"/>
    <w:rPr>
      <w:rFonts w:ascii="Arial" w:hAnsi="Arial" w:eastAsia="Arial" w:cs="Arial"/>
      <w:i/>
      <w:iCs/>
      <w:sz w:val="22"/>
      <w:szCs w:val="22"/>
    </w:rPr>
  </w:style>
  <w:style w:type="paragraph" w:styleId="28">
    <w:name w:val="Heading 9"/>
    <w:basedOn w:val="733"/>
    <w:next w:val="733"/>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37"/>
    <w:link w:val="28"/>
    <w:uiPriority w:val="9"/>
    <w:rPr>
      <w:rFonts w:ascii="Arial" w:hAnsi="Arial" w:eastAsia="Arial" w:cs="Arial"/>
      <w:i/>
      <w:iCs/>
      <w:sz w:val="21"/>
      <w:szCs w:val="21"/>
    </w:rPr>
  </w:style>
  <w:style w:type="paragraph" w:styleId="33">
    <w:name w:val="Title"/>
    <w:basedOn w:val="733"/>
    <w:next w:val="733"/>
    <w:link w:val="34"/>
    <w:uiPriority w:val="10"/>
    <w:qFormat/>
    <w:pPr>
      <w:contextualSpacing/>
      <w:spacing w:before="300" w:after="200"/>
    </w:pPr>
    <w:rPr>
      <w:sz w:val="48"/>
      <w:szCs w:val="48"/>
    </w:rPr>
  </w:style>
  <w:style w:type="character" w:styleId="34">
    <w:name w:val="Title Char"/>
    <w:basedOn w:val="737"/>
    <w:link w:val="33"/>
    <w:uiPriority w:val="10"/>
    <w:rPr>
      <w:sz w:val="48"/>
      <w:szCs w:val="48"/>
    </w:rPr>
  </w:style>
  <w:style w:type="paragraph" w:styleId="35">
    <w:name w:val="Subtitle"/>
    <w:basedOn w:val="733"/>
    <w:next w:val="733"/>
    <w:link w:val="36"/>
    <w:uiPriority w:val="11"/>
    <w:qFormat/>
    <w:pPr>
      <w:spacing w:before="200" w:after="200"/>
    </w:pPr>
    <w:rPr>
      <w:sz w:val="24"/>
      <w:szCs w:val="24"/>
    </w:rPr>
  </w:style>
  <w:style w:type="character" w:styleId="36">
    <w:name w:val="Subtitle Char"/>
    <w:basedOn w:val="737"/>
    <w:link w:val="35"/>
    <w:uiPriority w:val="11"/>
    <w:rPr>
      <w:sz w:val="24"/>
      <w:szCs w:val="24"/>
    </w:rPr>
  </w:style>
  <w:style w:type="paragraph" w:styleId="37">
    <w:name w:val="Quote"/>
    <w:basedOn w:val="733"/>
    <w:next w:val="733"/>
    <w:link w:val="38"/>
    <w:uiPriority w:val="29"/>
    <w:qFormat/>
    <w:pPr>
      <w:ind w:left="720" w:right="720"/>
    </w:pPr>
    <w:rPr>
      <w:i/>
    </w:rPr>
  </w:style>
  <w:style w:type="character" w:styleId="38">
    <w:name w:val="Quote Char"/>
    <w:link w:val="37"/>
    <w:uiPriority w:val="29"/>
    <w:rPr>
      <w:i/>
    </w:rPr>
  </w:style>
  <w:style w:type="paragraph" w:styleId="39">
    <w:name w:val="Intense Quote"/>
    <w:basedOn w:val="733"/>
    <w:next w:val="733"/>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33"/>
    <w:link w:val="42"/>
    <w:uiPriority w:val="99"/>
    <w:unhideWhenUsed/>
    <w:pPr>
      <w:spacing w:after="0" w:line="240" w:lineRule="auto"/>
      <w:tabs>
        <w:tab w:val="center" w:pos="7143" w:leader="none"/>
        <w:tab w:val="right" w:pos="14287" w:leader="none"/>
      </w:tabs>
    </w:pPr>
  </w:style>
  <w:style w:type="character" w:styleId="42">
    <w:name w:val="Header Char"/>
    <w:basedOn w:val="737"/>
    <w:link w:val="41"/>
    <w:uiPriority w:val="99"/>
  </w:style>
  <w:style w:type="character" w:styleId="44">
    <w:name w:val="Footer Char"/>
    <w:basedOn w:val="737"/>
    <w:link w:val="746"/>
    <w:uiPriority w:val="99"/>
  </w:style>
  <w:style w:type="paragraph" w:styleId="45">
    <w:name w:val="Caption"/>
    <w:basedOn w:val="733"/>
    <w:next w:val="733"/>
    <w:uiPriority w:val="35"/>
    <w:semiHidden/>
    <w:unhideWhenUsed/>
    <w:qFormat/>
    <w:pPr>
      <w:spacing w:line="276" w:lineRule="auto"/>
    </w:pPr>
    <w:rPr>
      <w:b/>
      <w:bCs/>
      <w:color w:val="4f81bd" w:themeColor="accent1"/>
      <w:sz w:val="18"/>
      <w:szCs w:val="18"/>
    </w:rPr>
  </w:style>
  <w:style w:type="character" w:styleId="46">
    <w:name w:val="Caption Char"/>
    <w:basedOn w:val="45"/>
    <w:link w:val="746"/>
    <w:uiPriority w:val="99"/>
  </w:style>
  <w:style w:type="table" w:styleId="48">
    <w:name w:val="Table Grid Light"/>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33"/>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37"/>
    <w:uiPriority w:val="99"/>
    <w:unhideWhenUsed/>
    <w:rPr>
      <w:vertAlign w:val="superscript"/>
    </w:rPr>
  </w:style>
  <w:style w:type="paragraph" w:styleId="177">
    <w:name w:val="endnote text"/>
    <w:basedOn w:val="733"/>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37"/>
    <w:uiPriority w:val="99"/>
    <w:semiHidden/>
    <w:unhideWhenUsed/>
    <w:rPr>
      <w:vertAlign w:val="superscript"/>
    </w:rPr>
  </w:style>
  <w:style w:type="paragraph" w:styleId="180">
    <w:name w:val="toc 1"/>
    <w:basedOn w:val="733"/>
    <w:next w:val="733"/>
    <w:uiPriority w:val="39"/>
    <w:unhideWhenUsed/>
    <w:pPr>
      <w:ind w:left="0" w:right="0" w:firstLine="0"/>
      <w:spacing w:after="57"/>
    </w:pPr>
  </w:style>
  <w:style w:type="paragraph" w:styleId="181">
    <w:name w:val="toc 2"/>
    <w:basedOn w:val="733"/>
    <w:next w:val="733"/>
    <w:uiPriority w:val="39"/>
    <w:unhideWhenUsed/>
    <w:pPr>
      <w:ind w:left="283" w:right="0" w:firstLine="0"/>
      <w:spacing w:after="57"/>
    </w:pPr>
  </w:style>
  <w:style w:type="paragraph" w:styleId="182">
    <w:name w:val="toc 3"/>
    <w:basedOn w:val="733"/>
    <w:next w:val="733"/>
    <w:uiPriority w:val="39"/>
    <w:unhideWhenUsed/>
    <w:pPr>
      <w:ind w:left="567" w:right="0" w:firstLine="0"/>
      <w:spacing w:after="57"/>
    </w:pPr>
  </w:style>
  <w:style w:type="paragraph" w:styleId="183">
    <w:name w:val="toc 4"/>
    <w:basedOn w:val="733"/>
    <w:next w:val="733"/>
    <w:uiPriority w:val="39"/>
    <w:unhideWhenUsed/>
    <w:pPr>
      <w:ind w:left="850" w:right="0" w:firstLine="0"/>
      <w:spacing w:after="57"/>
    </w:pPr>
  </w:style>
  <w:style w:type="paragraph" w:styleId="184">
    <w:name w:val="toc 5"/>
    <w:basedOn w:val="733"/>
    <w:next w:val="733"/>
    <w:uiPriority w:val="39"/>
    <w:unhideWhenUsed/>
    <w:pPr>
      <w:ind w:left="1134" w:right="0" w:firstLine="0"/>
      <w:spacing w:after="57"/>
    </w:pPr>
  </w:style>
  <w:style w:type="paragraph" w:styleId="185">
    <w:name w:val="toc 6"/>
    <w:basedOn w:val="733"/>
    <w:next w:val="733"/>
    <w:uiPriority w:val="39"/>
    <w:unhideWhenUsed/>
    <w:pPr>
      <w:ind w:left="1417" w:right="0" w:firstLine="0"/>
      <w:spacing w:after="57"/>
    </w:pPr>
  </w:style>
  <w:style w:type="paragraph" w:styleId="186">
    <w:name w:val="toc 7"/>
    <w:basedOn w:val="733"/>
    <w:next w:val="733"/>
    <w:uiPriority w:val="39"/>
    <w:unhideWhenUsed/>
    <w:pPr>
      <w:ind w:left="1701" w:right="0" w:firstLine="0"/>
      <w:spacing w:after="57"/>
    </w:pPr>
  </w:style>
  <w:style w:type="paragraph" w:styleId="187">
    <w:name w:val="toc 8"/>
    <w:basedOn w:val="733"/>
    <w:next w:val="733"/>
    <w:uiPriority w:val="39"/>
    <w:unhideWhenUsed/>
    <w:pPr>
      <w:ind w:left="1984" w:right="0" w:firstLine="0"/>
      <w:spacing w:after="57"/>
    </w:pPr>
  </w:style>
  <w:style w:type="paragraph" w:styleId="188">
    <w:name w:val="toc 9"/>
    <w:basedOn w:val="733"/>
    <w:next w:val="733"/>
    <w:uiPriority w:val="39"/>
    <w:unhideWhenUsed/>
    <w:pPr>
      <w:ind w:left="2268" w:right="0" w:firstLine="0"/>
      <w:spacing w:after="57"/>
    </w:pPr>
  </w:style>
  <w:style w:type="paragraph" w:styleId="189">
    <w:name w:val="TOC Heading"/>
    <w:uiPriority w:val="39"/>
    <w:unhideWhenUsed/>
  </w:style>
  <w:style w:type="paragraph" w:styleId="190">
    <w:name w:val="table of figures"/>
    <w:basedOn w:val="733"/>
    <w:next w:val="733"/>
    <w:uiPriority w:val="99"/>
    <w:unhideWhenUsed/>
    <w:pPr>
      <w:spacing w:after="0" w:afterAutospacing="0"/>
    </w:pPr>
  </w:style>
  <w:style w:type="paragraph" w:styleId="733" w:default="1">
    <w:name w:val="Normal"/>
    <w:qFormat/>
    <w:rPr>
      <w:lang w:val="uk-UA"/>
    </w:rPr>
  </w:style>
  <w:style w:type="paragraph" w:styleId="734">
    <w:name w:val="Heading 2"/>
    <w:basedOn w:val="733"/>
    <w:link w:val="75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35">
    <w:name w:val="Heading 3"/>
    <w:basedOn w:val="733"/>
    <w:next w:val="733"/>
    <w:link w:val="772"/>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36">
    <w:name w:val="Heading 4"/>
    <w:basedOn w:val="733"/>
    <w:next w:val="733"/>
    <w:link w:val="773"/>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37" w:default="1">
    <w:name w:val="Default Paragraph Font"/>
    <w:uiPriority w:val="1"/>
    <w:semiHidden/>
    <w:unhideWhenUsed/>
  </w:style>
  <w:style w:type="table" w:styleId="738" w:default="1">
    <w:name w:val="Normal Table"/>
    <w:uiPriority w:val="99"/>
    <w:semiHidden/>
    <w:unhideWhenUsed/>
    <w:tblPr>
      <w:tblInd w:w="0" w:type="dxa"/>
      <w:tblCellMar>
        <w:left w:w="108" w:type="dxa"/>
        <w:top w:w="0" w:type="dxa"/>
        <w:right w:w="108" w:type="dxa"/>
        <w:bottom w:w="0" w:type="dxa"/>
      </w:tblCellMar>
    </w:tblPr>
  </w:style>
  <w:style w:type="numbering" w:styleId="739" w:default="1">
    <w:name w:val="No List"/>
    <w:uiPriority w:val="99"/>
    <w:semiHidden/>
    <w:unhideWhenUsed/>
  </w:style>
  <w:style w:type="paragraph" w:styleId="740">
    <w:name w:val="List Paragraph"/>
    <w:basedOn w:val="733"/>
    <w:link w:val="741"/>
    <w:uiPriority w:val="34"/>
    <w:qFormat/>
    <w:pPr>
      <w:contextualSpacing/>
      <w:ind w:left="720"/>
      <w:spacing w:after="200" w:line="276" w:lineRule="auto"/>
    </w:pPr>
    <w:rPr>
      <w:rFonts w:ascii="Calibri" w:hAnsi="Calibri" w:eastAsia="Calibri" w:cs="Calibri"/>
      <w:lang w:val="ru-RU" w:eastAsia="zh-CN"/>
    </w:rPr>
  </w:style>
  <w:style w:type="character" w:styleId="741" w:customStyle="1">
    <w:name w:val="Абзац списку Знак"/>
    <w:link w:val="740"/>
    <w:uiPriority w:val="34"/>
    <w:qFormat/>
    <w:rPr>
      <w:rFonts w:ascii="Calibri" w:hAnsi="Calibri" w:eastAsia="Calibri" w:cs="Calibri"/>
      <w:lang w:eastAsia="zh-CN"/>
    </w:rPr>
  </w:style>
  <w:style w:type="table" w:styleId="742">
    <w:name w:val="Table Grid"/>
    <w:basedOn w:val="73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43" w:customStyle="1">
    <w:name w:val="Сетка таблицы2"/>
    <w:basedOn w:val="738"/>
    <w:next w:val="74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4">
    <w:name w:val="Normal (Web)"/>
    <w:basedOn w:val="733"/>
    <w:link w:val="751"/>
    <w:unhideWhenUsed/>
    <w:qFormat/>
    <w:rPr>
      <w:rFonts w:ascii="Times New Roman" w:hAnsi="Times New Roman" w:cs="Times New Roman"/>
      <w:sz w:val="24"/>
      <w:szCs w:val="24"/>
    </w:rPr>
  </w:style>
  <w:style w:type="table" w:styleId="745" w:customStyle="1">
    <w:name w:val="Сетка таблицы1"/>
    <w:basedOn w:val="738"/>
    <w:next w:val="74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46">
    <w:name w:val="Footer"/>
    <w:basedOn w:val="733"/>
    <w:link w:val="74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47" w:customStyle="1">
    <w:name w:val="Нижній колонтитул Знак"/>
    <w:basedOn w:val="737"/>
    <w:link w:val="746"/>
    <w:uiPriority w:val="99"/>
    <w:rPr>
      <w:rFonts w:ascii="Calibri" w:hAnsi="Calibri" w:eastAsia="Calibri" w:cs="Calibri"/>
      <w:lang w:eastAsia="zh-CN"/>
    </w:rPr>
  </w:style>
  <w:style w:type="paragraph" w:styleId="74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9">
    <w:name w:val="Hyperlink"/>
    <w:basedOn w:val="737"/>
    <w:uiPriority w:val="99"/>
    <w:unhideWhenUsed/>
    <w:rPr>
      <w:color w:val="0563c1" w:themeColor="hyperlink"/>
      <w:u w:val="single"/>
    </w:rPr>
  </w:style>
  <w:style w:type="character" w:styleId="750" w:customStyle="1">
    <w:name w:val="xfm_93972720"/>
    <w:basedOn w:val="737"/>
  </w:style>
  <w:style w:type="character" w:styleId="751" w:customStyle="1">
    <w:name w:val="Звичайний (веб) Знак"/>
    <w:link w:val="744"/>
    <w:qFormat/>
    <w:rPr>
      <w:rFonts w:ascii="Times New Roman" w:hAnsi="Times New Roman" w:cs="Times New Roman"/>
      <w:sz w:val="24"/>
      <w:szCs w:val="24"/>
      <w:lang w:val="uk-UA"/>
    </w:rPr>
  </w:style>
  <w:style w:type="paragraph" w:styleId="752">
    <w:name w:val="Body Text 2"/>
    <w:basedOn w:val="733"/>
    <w:link w:val="753"/>
    <w:pPr>
      <w:spacing w:after="0" w:line="240" w:lineRule="auto"/>
    </w:pPr>
    <w:rPr>
      <w:rFonts w:ascii="Times New Roman" w:hAnsi="Times New Roman" w:eastAsia="Times New Roman" w:cs="Times New Roman"/>
      <w:sz w:val="28"/>
      <w:szCs w:val="20"/>
      <w:lang w:val="ru-RU" w:eastAsia="ru-RU"/>
    </w:rPr>
  </w:style>
  <w:style w:type="character" w:styleId="753" w:customStyle="1">
    <w:name w:val="Основний текст 2 Знак"/>
    <w:basedOn w:val="737"/>
    <w:link w:val="752"/>
    <w:rPr>
      <w:rFonts w:ascii="Times New Roman" w:hAnsi="Times New Roman" w:eastAsia="Times New Roman" w:cs="Times New Roman"/>
      <w:sz w:val="28"/>
      <w:szCs w:val="20"/>
      <w:lang w:eastAsia="ru-RU"/>
    </w:rPr>
  </w:style>
  <w:style w:type="paragraph" w:styleId="75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55" w:customStyle="1">
    <w:name w:val="Заголовок 2 Знак"/>
    <w:basedOn w:val="737"/>
    <w:link w:val="734"/>
    <w:uiPriority w:val="9"/>
    <w:rPr>
      <w:rFonts w:ascii="Times New Roman" w:hAnsi="Times New Roman" w:eastAsia="Times New Roman" w:cs="Times New Roman"/>
      <w:b/>
      <w:bCs/>
      <w:sz w:val="36"/>
      <w:szCs w:val="36"/>
      <w:lang w:val="uk-UA" w:eastAsia="uk-UA"/>
    </w:rPr>
  </w:style>
  <w:style w:type="paragraph" w:styleId="756">
    <w:name w:val="No Spacing"/>
    <w:link w:val="757"/>
    <w:uiPriority w:val="1"/>
    <w:qFormat/>
    <w:pPr>
      <w:spacing w:after="0" w:line="240" w:lineRule="auto"/>
    </w:pPr>
    <w:rPr>
      <w:rFonts w:ascii="Calibri" w:hAnsi="Calibri" w:eastAsia="Calibri" w:cs="Times New Roman"/>
      <w:lang w:val="uk-UA"/>
    </w:rPr>
  </w:style>
  <w:style w:type="character" w:styleId="757" w:customStyle="1">
    <w:name w:val="Без інтервалів Знак"/>
    <w:basedOn w:val="737"/>
    <w:link w:val="756"/>
    <w:uiPriority w:val="1"/>
    <w:rPr>
      <w:rFonts w:ascii="Calibri" w:hAnsi="Calibri" w:eastAsia="Calibri" w:cs="Times New Roman"/>
      <w:lang w:val="uk-UA"/>
    </w:rPr>
  </w:style>
  <w:style w:type="character" w:styleId="758" w:customStyle="1">
    <w:name w:val="Другое_"/>
    <w:basedOn w:val="737"/>
    <w:link w:val="759"/>
    <w:rPr>
      <w:rFonts w:ascii="Calibri" w:hAnsi="Calibri" w:eastAsia="Calibri" w:cs="Calibri"/>
      <w:sz w:val="20"/>
      <w:szCs w:val="20"/>
    </w:rPr>
  </w:style>
  <w:style w:type="paragraph" w:styleId="759" w:customStyle="1">
    <w:name w:val="Другое"/>
    <w:basedOn w:val="733"/>
    <w:link w:val="758"/>
    <w:qFormat/>
    <w:pPr>
      <w:spacing w:after="0" w:line="240" w:lineRule="auto"/>
      <w:widowControl w:val="off"/>
    </w:pPr>
    <w:rPr>
      <w:rFonts w:ascii="Calibri" w:hAnsi="Calibri" w:eastAsia="Calibri" w:cs="Calibri"/>
      <w:sz w:val="20"/>
      <w:szCs w:val="20"/>
      <w:lang w:val="ru-RU"/>
    </w:rPr>
  </w:style>
  <w:style w:type="paragraph" w:styleId="76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61" w:customStyle="1">
    <w:name w:val="Основной текст (2)_"/>
    <w:basedOn w:val="737"/>
    <w:link w:val="762"/>
    <w:rPr>
      <w:rFonts w:eastAsia="Times New Roman" w:cs="Times New Roman"/>
      <w:shd w:val="clear" w:color="auto" w:fill="ffffff"/>
    </w:rPr>
  </w:style>
  <w:style w:type="paragraph" w:styleId="762" w:customStyle="1">
    <w:name w:val="Основной текст (2)"/>
    <w:basedOn w:val="733"/>
    <w:link w:val="761"/>
    <w:pPr>
      <w:ind w:hanging="700"/>
      <w:jc w:val="both"/>
      <w:spacing w:before="240" w:after="480" w:line="0" w:lineRule="atLeast"/>
      <w:shd w:val="clear" w:color="auto" w:fill="ffffff"/>
      <w:widowControl w:val="off"/>
    </w:pPr>
    <w:rPr>
      <w:rFonts w:eastAsia="Times New Roman" w:cs="Times New Roman"/>
      <w:lang w:val="ru-RU"/>
    </w:rPr>
  </w:style>
  <w:style w:type="character" w:styleId="763" w:customStyle="1">
    <w:name w:val="Текст у виносці Знак"/>
    <w:basedOn w:val="737"/>
    <w:link w:val="764"/>
    <w:uiPriority w:val="99"/>
    <w:semiHidden/>
    <w:rPr>
      <w:rFonts w:ascii="Segoe UI" w:hAnsi="Segoe UI" w:eastAsia="Times New Roman" w:cs="Segoe UI"/>
      <w:sz w:val="18"/>
      <w:szCs w:val="18"/>
      <w:lang w:eastAsia="ru-RU"/>
    </w:rPr>
  </w:style>
  <w:style w:type="paragraph" w:styleId="764">
    <w:name w:val="Balloon Text"/>
    <w:basedOn w:val="733"/>
    <w:link w:val="76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65" w:customStyle="1">
    <w:name w:val="Текст у виносці Знак1"/>
    <w:basedOn w:val="737"/>
    <w:uiPriority w:val="99"/>
    <w:semiHidden/>
    <w:rPr>
      <w:rFonts w:ascii="Segoe UI" w:hAnsi="Segoe UI" w:cs="Segoe UI"/>
      <w:sz w:val="18"/>
      <w:szCs w:val="18"/>
      <w:lang w:val="uk-UA"/>
    </w:rPr>
  </w:style>
  <w:style w:type="character" w:styleId="766" w:customStyle="1">
    <w:name w:val="T23"/>
    <w:rPr>
      <w:rFonts w:hint="default" w:ascii="Times New Roman" w:hAnsi="Times New Roman" w:eastAsia="Times New Roman1" w:cs="Times New Roman"/>
    </w:rPr>
  </w:style>
  <w:style w:type="paragraph" w:styleId="767" w:customStyle="1">
    <w:name w:val="Абзац списку1"/>
    <w:basedOn w:val="733"/>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8" w:customStyle="1">
    <w:name w:val="markedcontent"/>
    <w:basedOn w:val="737"/>
  </w:style>
  <w:style w:type="paragraph" w:styleId="769">
    <w:name w:val="annotation text"/>
    <w:basedOn w:val="733"/>
    <w:link w:val="770"/>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70" w:customStyle="1">
    <w:name w:val="Текст примітки Знак"/>
    <w:basedOn w:val="737"/>
    <w:link w:val="769"/>
    <w:uiPriority w:val="99"/>
    <w:rPr>
      <w:rFonts w:ascii="Times New Roman" w:hAnsi="Times New Roman" w:eastAsia="Times New Roman" w:cs="Times New Roman"/>
      <w:sz w:val="20"/>
      <w:szCs w:val="20"/>
      <w:lang w:eastAsia="ru-RU"/>
    </w:rPr>
  </w:style>
  <w:style w:type="character" w:styleId="771" w:customStyle="1">
    <w:name w:val="docdata"/>
    <w:basedOn w:val="737"/>
  </w:style>
  <w:style w:type="character" w:styleId="772" w:customStyle="1">
    <w:name w:val="Заголовок 3 Знак"/>
    <w:basedOn w:val="737"/>
    <w:link w:val="735"/>
    <w:uiPriority w:val="9"/>
    <w:semiHidden/>
    <w:rPr>
      <w:rFonts w:asciiTheme="majorHAnsi" w:hAnsiTheme="majorHAnsi" w:eastAsiaTheme="majorEastAsia" w:cstheme="majorBidi"/>
      <w:color w:val="1f4d78" w:themeColor="accent1" w:themeShade="7F"/>
      <w:sz w:val="24"/>
      <w:szCs w:val="24"/>
      <w:lang w:val="uk-UA"/>
    </w:rPr>
  </w:style>
  <w:style w:type="character" w:styleId="773" w:customStyle="1">
    <w:name w:val="Заголовок 4 Знак"/>
    <w:basedOn w:val="737"/>
    <w:link w:val="736"/>
    <w:uiPriority w:val="9"/>
    <w:semiHidden/>
    <w:rPr>
      <w:rFonts w:asciiTheme="majorHAnsi" w:hAnsiTheme="majorHAnsi" w:eastAsiaTheme="majorEastAsia" w:cstheme="majorBidi"/>
      <w:i/>
      <w:iCs/>
      <w:color w:val="2e74b5" w:themeColor="accent1" w:themeShade="BF"/>
      <w:lang w:val="uk-UA"/>
    </w:rPr>
  </w:style>
  <w:style w:type="paragraph" w:styleId="774" w:customStyle="1">
    <w:name w:val="name-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75" w:customStyle="1">
    <w:name w:val="cont-spec"/>
    <w:basedOn w:val="733"/>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76">
    <w:name w:val="Strong"/>
    <w:basedOn w:val="737"/>
    <w:uiPriority w:val="22"/>
    <w:qFormat/>
    <w:rPr>
      <w:b/>
      <w:bCs/>
    </w:rPr>
  </w:style>
  <w:style w:type="paragraph" w:styleId="777" w:customStyle="1">
    <w:name w:val="rvps6"/>
    <w:basedOn w:val="733"/>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8"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 w:type="paragraph" w:styleId="779" w:customStyle="1">
    <w:name w:val="Table Paragraph"/>
    <w:basedOn w:val="733"/>
    <w:uiPriority w:val="1"/>
    <w:qFormat/>
    <w:pPr>
      <w:spacing w:after="0" w:line="240" w:lineRule="auto"/>
      <w:widowControl w:val="off"/>
    </w:pPr>
    <w:rPr>
      <w:rFonts w:ascii="Times New Roman" w:hAnsi="Times New Roman" w:eastAsia="Times New Roman" w:cs="Times New Roman"/>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zakon.rada.gov.ua/laws/show/z0093-98" TargetMode="External"/><Relationship Id="rId12" Type="http://schemas.openxmlformats.org/officeDocument/2006/relationships/hyperlink" Target="https://zakon.rada.gov.ua/laws/show/z0252-15"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2024-06-28T07:39:04Z</dcterms:modified>
</cp:coreProperties>
</file>