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jc w:val="center"/>
        <w:spacing w:after="0" w:line="240" w:lineRule="auto"/>
        <w:widowControl w:val="off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ОБҐРУНТУВАННЯ ТЕХНІЧНИХ ТА ЯКІСНИХ ХАРАКТЕРИСТИК ПРЕДМЕТА ЗАКУПІВЛІ, РОЗМІРУ БЮДЖЕТНОГО ПРИЗНАЧЕННЯ, ОЧІКУВАНОЇ ВАРТОСТІ ПРЕДМЕТА ЗАКУПІВЛІ</w:t>
      </w:r>
      <w:r/>
    </w:p>
    <w:p>
      <w:pPr>
        <w:jc w:val="center"/>
        <w:spacing w:after="0" w:line="240" w:lineRule="auto"/>
        <w:widowControl w:val="off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/>
    </w:p>
    <w:p>
      <w:pPr>
        <w:jc w:val="center"/>
        <w:spacing w:after="0" w:line="240" w:lineRule="auto"/>
        <w:widowControl w:val="o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(відповідно до пункту 4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1</w:t>
      </w:r>
      <w:r>
        <w:rPr>
          <w:rFonts w:ascii="Times New Roman" w:hAnsi="Times New Roman" w:cs="Times New Roman"/>
          <w:sz w:val="24"/>
          <w:szCs w:val="24"/>
        </w:rPr>
        <w:t xml:space="preserve"> постанови КМУ від 11.10.2016 № 710 «Про ефективне використання державних коштів» (зі змінами))</w:t>
      </w:r>
      <w:r/>
    </w:p>
    <w:p>
      <w:pPr>
        <w:jc w:val="center"/>
        <w:spacing w:after="0" w:line="240" w:lineRule="auto"/>
        <w:widowControl w:val="o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240" w:lineRule="auto"/>
        <w:widowControl w:val="o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 Найменування, місцезнаходження та ідентифікаційний код замовника в Єдиному державному реєстрі юридичних осіб, фізичних осіб-підприємців та громадських формувань, його категорія: </w:t>
      </w:r>
      <w:r>
        <w:rPr>
          <w:rFonts w:ascii="Times New Roman" w:hAnsi="Times New Roman" w:cs="Times New Roman"/>
          <w:sz w:val="24"/>
          <w:szCs w:val="24"/>
        </w:rPr>
        <w:t xml:space="preserve">ДЕРЖАВНА УСТАНОВА "ЦЕНТР ІНФРАСТРУКТУРИ ТА ТЕХНОЛОГІЙ МІНІСТЕРСТВА ВНУТРІШНІХ СПРАВ УКРАЇНИ"; 03151, Україна, м. Київ, вул. Володимира Сікевича, 28; категорія замовника – бюджетна неприбуткова установа. </w:t>
      </w:r>
      <w:r/>
    </w:p>
    <w:p>
      <w:pPr>
        <w:jc w:val="both"/>
        <w:spacing w:after="0" w:line="240" w:lineRule="auto"/>
        <w:widowControl w:val="off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/>
    </w:p>
    <w:p>
      <w:pPr>
        <w:pStyle w:val="708"/>
        <w:jc w:val="both"/>
        <w:spacing w:before="0" w:beforeAutospacing="0" w:after="0" w:afterAutospacing="0"/>
        <w:shd w:val="clear" w:color="auto" w:fill="ffffff" w:themeFill="background1"/>
        <w:rPr>
          <w:color w:val="585858"/>
          <w:sz w:val="28"/>
          <w:szCs w:val="28"/>
        </w:rPr>
      </w:pPr>
      <w:r>
        <w:rPr>
          <w:sz w:val="24"/>
          <w:szCs w:val="24"/>
        </w:rPr>
        <w:t xml:space="preserve">2</w:t>
      </w:r>
      <w:r>
        <w:rPr>
          <w:sz w:val="24"/>
          <w:szCs w:val="24"/>
        </w:rPr>
        <w:t xml:space="preserve">. Назва предм</w:t>
      </w:r>
      <w:r>
        <w:rPr>
          <w:sz w:val="24"/>
          <w:szCs w:val="24"/>
        </w:rPr>
        <w:t xml:space="preserve">ета закупівлі із зазначенням коду за Єдиним закупівельним словником (у разі поділу на лоти такі відомості повинні зазначатися стосовно кожного лота) та назви відповідних класифікаторів предмета закупівлі і частин предмета закупівлі (лотів) (за наявності): </w:t>
      </w:r>
      <w:r>
        <w:rPr>
          <w:b w:val="0"/>
          <w:bCs w:val="0"/>
          <w:sz w:val="24"/>
          <w:szCs w:val="24"/>
        </w:rPr>
        <w:t xml:space="preserve"> </w:t>
      </w:r>
      <w:hyperlink r:id="rId11" w:tooltip="https://www.dzo.com.ua/tenders/17227183" w:history="1">
        <w:r>
          <w:rPr>
            <w:b w:val="0"/>
            <w:bCs w:val="0"/>
            <w:sz w:val="24"/>
            <w:szCs w:val="24"/>
            <w:u w:val="single"/>
          </w:rPr>
          <w:t xml:space="preserve"> </w:t>
        </w:r>
        <w:bookmarkStart w:id="0" w:name="_Hlk139615905"/>
        <w:r>
          <w:rPr>
            <w:rStyle w:val="721"/>
            <w:b w:val="0"/>
            <w:bCs w:val="0"/>
            <w:color w:val="000000"/>
            <w:sz w:val="24"/>
            <w:szCs w:val="24"/>
          </w:rPr>
          <w:t xml:space="preserve">Закупівля </w:t>
        </w:r>
        <w:r>
          <w:rPr>
            <w:b w:val="0"/>
            <w:bCs w:val="0"/>
            <w:sz w:val="24"/>
            <w:szCs w:val="24"/>
            <w:u w:val="single"/>
            <w:shd w:val="clear" w:color="auto" w:fill="ffffff"/>
          </w:rPr>
          <w:t xml:space="preserve">комплектів офісних меблів</w:t>
        </w:r>
        <w:r>
          <w:rPr>
            <w:rStyle w:val="721"/>
            <w:b w:val="0"/>
            <w:bCs w:val="0"/>
            <w:color w:val="000000"/>
            <w:sz w:val="24"/>
            <w:szCs w:val="24"/>
          </w:rPr>
          <w:t xml:space="preserve"> за ДК 021:2015: 39130000-2 </w:t>
        </w:r>
        <w:bookmarkEnd w:id="0"/>
      </w:hyperlink>
      <w:r>
        <w:rPr>
          <w:b w:val="0"/>
          <w:bCs w:val="0"/>
          <w:sz w:val="24"/>
          <w:szCs w:val="24"/>
          <w:u w:val="single"/>
        </w:rPr>
        <w:t xml:space="preserve"> Офісні меблі</w:t>
      </w:r>
      <w:r/>
    </w:p>
    <w:p>
      <w:pPr>
        <w:jc w:val="both"/>
        <w:spacing w:after="0" w:line="240" w:lineRule="auto"/>
        <w:widowControl w:val="o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240" w:lineRule="auto"/>
        <w:widowControl w:val="o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 Ідентифікатор закупівлі: — </w:t>
      </w:r>
      <w:r>
        <w:rPr>
          <w:rFonts w:ascii="Times New Roman" w:hAnsi="Times New Roman" w:cs="Times New Roman"/>
          <w:sz w:val="24"/>
          <w:szCs w:val="24"/>
        </w:rPr>
        <w:t xml:space="preserve">UA-2023-</w:t>
      </w:r>
      <w:r>
        <w:rPr>
          <w:rFonts w:ascii="Times New Roman" w:hAnsi="Times New Roman" w:cs="Times New Roman"/>
          <w:sz w:val="24"/>
          <w:szCs w:val="24"/>
        </w:rPr>
        <w:t xml:space="preserve">1</w:t>
      </w:r>
      <w:r>
        <w:rPr>
          <w:rFonts w:ascii="Times New Roman" w:hAnsi="Times New Roman" w:cs="Times New Roman"/>
          <w:sz w:val="24"/>
          <w:szCs w:val="24"/>
        </w:rPr>
        <w:t xml:space="preserve">0</w:t>
      </w:r>
      <w:r>
        <w:rPr>
          <w:rFonts w:ascii="Times New Roman" w:hAnsi="Times New Roman" w:cs="Times New Roman"/>
          <w:sz w:val="24"/>
          <w:szCs w:val="24"/>
        </w:rPr>
        <w:t xml:space="preserve">-</w:t>
      </w:r>
      <w:r>
        <w:rPr>
          <w:rFonts w:ascii="Times New Roman" w:hAnsi="Times New Roman" w:cs="Times New Roman"/>
          <w:sz w:val="24"/>
          <w:szCs w:val="24"/>
        </w:rPr>
        <w:t xml:space="preserve">30</w:t>
      </w:r>
      <w:r>
        <w:rPr>
          <w:rFonts w:ascii="Times New Roman" w:hAnsi="Times New Roman" w:cs="Times New Roman"/>
          <w:sz w:val="24"/>
          <w:szCs w:val="24"/>
        </w:rPr>
        <w:t xml:space="preserve">-</w:t>
      </w:r>
      <w:r>
        <w:rPr>
          <w:rFonts w:ascii="Times New Roman" w:hAnsi="Times New Roman" w:cs="Times New Roman"/>
          <w:sz w:val="24"/>
          <w:szCs w:val="24"/>
        </w:rPr>
        <w:t xml:space="preserve">00</w:t>
      </w:r>
      <w:r>
        <w:rPr>
          <w:rFonts w:ascii="Times New Roman" w:hAnsi="Times New Roman" w:cs="Times New Roman"/>
          <w:sz w:val="24"/>
          <w:szCs w:val="24"/>
        </w:rPr>
        <w:t xml:space="preserve">8298</w:t>
      </w:r>
      <w:r>
        <w:rPr>
          <w:rFonts w:ascii="Times New Roman" w:hAnsi="Times New Roman" w:cs="Times New Roman"/>
          <w:sz w:val="24"/>
          <w:szCs w:val="24"/>
        </w:rPr>
        <w:t xml:space="preserve">-а</w:t>
      </w:r>
      <w:r/>
    </w:p>
    <w:p>
      <w:pPr>
        <w:jc w:val="both"/>
        <w:spacing w:after="0" w:line="240" w:lineRule="auto"/>
        <w:widowControl w:val="o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eastAsia="Times New Roman" w:cs="Times New Roman"/>
          <w:b/>
          <w:sz w:val="24"/>
          <w:lang w:eastAsia="ru-RU"/>
        </w:rPr>
        <w:t xml:space="preserve">4. Обґрунтування технічних та якісних </w:t>
      </w:r>
      <w:r>
        <w:rPr>
          <w:rFonts w:ascii="Times New Roman" w:hAnsi="Times New Roman" w:eastAsia="Times New Roman" w:cs="Times New Roman"/>
          <w:b/>
          <w:sz w:val="24"/>
          <w:lang w:eastAsia="ru-RU"/>
        </w:rPr>
        <w:t xml:space="preserve">характеристик предмета закупівлі</w:t>
      </w:r>
      <w:r>
        <w:rPr>
          <w:rFonts w:ascii="Times New Roman" w:hAnsi="Times New Roman" w:eastAsia="Times New Roman" w:cs="Times New Roman"/>
          <w:bCs/>
          <w:sz w:val="24"/>
          <w:lang w:eastAsia="ru-RU"/>
        </w:rPr>
        <w:t xml:space="preserve">: </w:t>
      </w:r>
      <w:r>
        <w:rPr>
          <w:rFonts w:ascii="Times New Roman" w:hAnsi="Times New Roman" w:eastAsia="Times New Roman" w:cs="Times New Roman"/>
          <w:sz w:val="24"/>
          <w:lang w:eastAsia="ru-RU"/>
        </w:rPr>
        <w:t xml:space="preserve"> </w:t>
      </w:r>
      <w:bookmarkStart w:id="1" w:name="_Hlk133583335"/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HYPERLINK "https://www.dzo.com.ua/tenders/17227183"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>
        <w:rPr>
          <w:rStyle w:val="721"/>
          <w:rFonts w:ascii="Times New Roman" w:hAnsi="Times New Roman" w:cs="Times New Roman"/>
          <w:color w:val="000000"/>
          <w:sz w:val="24"/>
          <w:szCs w:val="24"/>
        </w:rPr>
        <w:t xml:space="preserve">Закупівля </w:t>
      </w:r>
      <w:r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 xml:space="preserve">комплектів офісних меблів</w:t>
      </w:r>
      <w:r>
        <w:rPr>
          <w:rStyle w:val="721"/>
          <w:rFonts w:ascii="Times New Roman" w:hAnsi="Times New Roman" w:cs="Times New Roman"/>
          <w:color w:val="000000"/>
          <w:sz w:val="24"/>
          <w:szCs w:val="24"/>
        </w:rPr>
        <w:t xml:space="preserve"> за ДК 021:2015: 39130000-2 </w:t>
      </w:r>
      <w:r>
        <w:rPr>
          <w:rStyle w:val="721"/>
          <w:rFonts w:ascii="Times New Roman" w:hAnsi="Times New Roman" w:cs="Times New Roman"/>
          <w:color w:val="000000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Офісні меблі</w:t>
      </w:r>
      <w:r/>
    </w:p>
    <w:p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</w:r>
      <w:bookmarkEnd w:id="1"/>
      <w:r/>
    </w:p>
    <w:p>
      <w:pPr>
        <w:ind w:firstLine="357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ТЕХНІЧНІ ВИМОГИ</w:t>
      </w:r>
      <w:r/>
    </w:p>
    <w:tbl>
      <w:tblPr>
        <w:tblStyle w:val="714"/>
        <w:tblW w:w="9634" w:type="dxa"/>
        <w:tblLook w:val="04A0" w:firstRow="1" w:lastRow="0" w:firstColumn="1" w:lastColumn="0" w:noHBand="0" w:noVBand="1"/>
      </w:tblPr>
      <w:tblGrid>
        <w:gridCol w:w="562"/>
        <w:gridCol w:w="5670"/>
        <w:gridCol w:w="1701"/>
        <w:gridCol w:w="1701"/>
      </w:tblGrid>
      <w:tr>
        <w:trPr/>
        <w:tc>
          <w:tcPr>
            <w:tcW w:w="562" w:type="dxa"/>
            <w:textDirection w:val="lrTb"/>
            <w:noWrap w:val="false"/>
          </w:tcPr>
          <w:p>
            <w:pPr>
              <w:pStyle w:val="716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№ п/п</w:t>
            </w:r>
            <w:r/>
          </w:p>
        </w:tc>
        <w:tc>
          <w:tcPr>
            <w:tcW w:w="5670" w:type="dxa"/>
            <w:textDirection w:val="lrTb"/>
            <w:noWrap w:val="false"/>
          </w:tcPr>
          <w:p>
            <w:pPr>
              <w:pStyle w:val="716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Назва системи</w:t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pStyle w:val="716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Одиниця виміру</w:t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pStyle w:val="716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Кількість</w:t>
            </w:r>
            <w:r/>
          </w:p>
        </w:tc>
      </w:tr>
      <w:tr>
        <w:trPr/>
        <w:tc>
          <w:tcPr>
            <w:tcW w:w="562" w:type="dxa"/>
            <w:vAlign w:val="center"/>
            <w:textDirection w:val="lrTb"/>
            <w:noWrap w:val="false"/>
          </w:tcPr>
          <w:p>
            <w:pPr>
              <w:pStyle w:val="716"/>
              <w:jc w:val="center"/>
            </w:pPr>
            <w:r>
              <w:rPr>
                <w:b/>
                <w:bCs/>
              </w:rPr>
              <w:t xml:space="preserve">1</w:t>
            </w:r>
            <w:r/>
          </w:p>
        </w:tc>
        <w:tc>
          <w:tcPr>
            <w:tcW w:w="5670" w:type="dxa"/>
            <w:textDirection w:val="lrTb"/>
            <w:noWrap w:val="false"/>
          </w:tcPr>
          <w:p>
            <w:pPr>
              <w:pStyle w:val="716"/>
              <w:rPr>
                <w:b/>
                <w:bCs/>
              </w:rPr>
            </w:pPr>
            <w:r>
              <w:rPr>
                <w:b/>
                <w:bCs/>
                <w:shd w:val="clear" w:color="auto" w:fill="ffffff"/>
              </w:rPr>
              <w:t xml:space="preserve">Комплект меблів кабінет No218 (Робоча</w:t>
            </w:r>
            <w:r>
              <w:rPr>
                <w:b/>
                <w:bCs/>
              </w:rPr>
              <w:br/>
            </w:r>
            <w:r>
              <w:rPr>
                <w:b/>
                <w:bCs/>
                <w:shd w:val="clear" w:color="auto" w:fill="ffffff"/>
              </w:rPr>
              <w:t xml:space="preserve">станція на 1ну особу із тумбою,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shd w:val="clear" w:color="auto" w:fill="ffffff"/>
              </w:rPr>
              <w:t xml:space="preserve">дворівнева полиця, стелаж-шафа, пенал,</w:t>
            </w:r>
            <w:r>
              <w:rPr>
                <w:b/>
                <w:bCs/>
              </w:rPr>
              <w:br/>
            </w:r>
            <w:r>
              <w:rPr>
                <w:b/>
                <w:bCs/>
                <w:shd w:val="clear" w:color="auto" w:fill="ffffff"/>
              </w:rPr>
              <w:t xml:space="preserve">журнальний столик, кутова робоча</w:t>
            </w:r>
            <w:r>
              <w:rPr>
                <w:b/>
                <w:bCs/>
              </w:rPr>
              <w:br/>
            </w:r>
            <w:r>
              <w:rPr>
                <w:b/>
                <w:bCs/>
                <w:shd w:val="clear" w:color="auto" w:fill="ffffff"/>
              </w:rPr>
              <w:t xml:space="preserve">станція на 1ну особу, тумба офісна)</w:t>
            </w:r>
            <w:r/>
          </w:p>
        </w:tc>
        <w:tc>
          <w:tcPr>
            <w:tcW w:w="1701" w:type="dxa"/>
            <w:vAlign w:val="center"/>
            <w:textDirection w:val="lrTb"/>
            <w:noWrap w:val="false"/>
          </w:tcPr>
          <w:p>
            <w:pPr>
              <w:pStyle w:val="716"/>
              <w:jc w:val="center"/>
            </w:pPr>
            <w:r>
              <w:t xml:space="preserve">шт.</w:t>
            </w:r>
            <w:r/>
          </w:p>
        </w:tc>
        <w:tc>
          <w:tcPr>
            <w:tcW w:w="1701" w:type="dxa"/>
            <w:vAlign w:val="center"/>
            <w:textDirection w:val="lrTb"/>
            <w:noWrap w:val="false"/>
          </w:tcPr>
          <w:p>
            <w:pPr>
              <w:pStyle w:val="716"/>
              <w:jc w:val="center"/>
            </w:pPr>
            <w:r>
              <w:rPr>
                <w:b/>
              </w:rPr>
              <w:t xml:space="preserve">1</w:t>
            </w:r>
            <w:r/>
          </w:p>
        </w:tc>
      </w:tr>
      <w:tr>
        <w:trPr/>
        <w:tc>
          <w:tcPr>
            <w:tcW w:w="562" w:type="dxa"/>
            <w:vAlign w:val="center"/>
            <w:textDirection w:val="lrTb"/>
            <w:noWrap w:val="false"/>
          </w:tcPr>
          <w:p>
            <w:pPr>
              <w:pStyle w:val="716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2</w:t>
            </w:r>
            <w:r/>
          </w:p>
        </w:tc>
        <w:tc>
          <w:tcPr>
            <w:tcW w:w="5670" w:type="dxa"/>
            <w:textDirection w:val="lrTb"/>
            <w:noWrap w:val="false"/>
          </w:tcPr>
          <w:p>
            <w:pPr>
              <w:pStyle w:val="716"/>
              <w:rPr>
                <w:rStyle w:val="743"/>
                <w:b/>
                <w:bCs/>
                <w:color w:val="000000"/>
                <w:shd w:val="clear" w:color="auto" w:fill="ffffff"/>
              </w:rPr>
            </w:pPr>
            <w:r>
              <w:rPr>
                <w:b/>
                <w:bCs/>
                <w:shd w:val="clear" w:color="auto" w:fill="ffffff"/>
              </w:rPr>
              <w:t xml:space="preserve">Комплект меблів 1й поверх оперативний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shd w:val="clear" w:color="auto" w:fill="ffffff"/>
              </w:rPr>
              <w:t xml:space="preserve">зал (Робоча станція на 1ну особу з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shd w:val="clear" w:color="auto" w:fill="ffffff"/>
              </w:rPr>
              <w:t xml:space="preserve">офісною мобільною тумбою-6 шт.,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shd w:val="clear" w:color="auto" w:fill="ffffff"/>
              </w:rPr>
              <w:t xml:space="preserve">офісна тумба з 2ма дверцятами - 1шт,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shd w:val="clear" w:color="auto" w:fill="ffffff"/>
              </w:rPr>
              <w:t xml:space="preserve">Стелаж)</w:t>
            </w:r>
            <w:r/>
          </w:p>
        </w:tc>
        <w:tc>
          <w:tcPr>
            <w:tcW w:w="1701" w:type="dxa"/>
            <w:vAlign w:val="center"/>
            <w:textDirection w:val="lrTb"/>
            <w:noWrap w:val="false"/>
          </w:tcPr>
          <w:p>
            <w:pPr>
              <w:pStyle w:val="716"/>
              <w:jc w:val="center"/>
            </w:pPr>
            <w:r>
              <w:t xml:space="preserve">шт.</w:t>
            </w:r>
            <w:r/>
          </w:p>
        </w:tc>
        <w:tc>
          <w:tcPr>
            <w:tcW w:w="1701" w:type="dxa"/>
            <w:vAlign w:val="center"/>
            <w:textDirection w:val="lrTb"/>
            <w:noWrap w:val="false"/>
          </w:tcPr>
          <w:p>
            <w:pPr>
              <w:pStyle w:val="716"/>
              <w:jc w:val="center"/>
              <w:rPr>
                <w:b/>
              </w:rPr>
            </w:pPr>
            <w:r>
              <w:rPr>
                <w:b/>
              </w:rPr>
              <w:t xml:space="preserve">1</w:t>
            </w:r>
            <w:r/>
          </w:p>
        </w:tc>
      </w:tr>
      <w:tr>
        <w:trPr/>
        <w:tc>
          <w:tcPr>
            <w:tcW w:w="562" w:type="dxa"/>
            <w:vAlign w:val="center"/>
            <w:textDirection w:val="lrTb"/>
            <w:noWrap w:val="false"/>
          </w:tcPr>
          <w:p>
            <w:pPr>
              <w:pStyle w:val="716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3</w:t>
            </w:r>
            <w:r/>
          </w:p>
        </w:tc>
        <w:tc>
          <w:tcPr>
            <w:tcW w:w="5670" w:type="dxa"/>
            <w:textDirection w:val="lrTb"/>
            <w:noWrap w:val="false"/>
          </w:tcPr>
          <w:p>
            <w:pPr>
              <w:pStyle w:val="716"/>
              <w:rPr>
                <w:rStyle w:val="743"/>
                <w:b/>
                <w:bCs/>
                <w:color w:val="000000"/>
                <w:shd w:val="clear" w:color="auto" w:fill="ffffff"/>
              </w:rPr>
            </w:pPr>
            <w:r>
              <w:rPr>
                <w:rStyle w:val="740"/>
                <w:b/>
                <w:bCs/>
                <w:shd w:val="clear" w:color="auto" w:fill="ffffff"/>
              </w:rPr>
              <w:t xml:space="preserve">Комплект робочих станцій на 1ну особу</w:t>
            </w:r>
            <w:r>
              <w:rPr>
                <w:b/>
                <w:bCs/>
                <w:shd w:val="clear" w:color="auto" w:fill="ffffff"/>
              </w:rPr>
              <w:br/>
            </w:r>
            <w:r>
              <w:rPr>
                <w:rStyle w:val="740"/>
                <w:b/>
                <w:bCs/>
                <w:shd w:val="clear" w:color="auto" w:fill="ffffff"/>
              </w:rPr>
              <w:t xml:space="preserve">(Робоча станція на 1ну особу - 3шт)</w:t>
            </w:r>
            <w:r/>
          </w:p>
        </w:tc>
        <w:tc>
          <w:tcPr>
            <w:tcW w:w="1701" w:type="dxa"/>
            <w:vAlign w:val="center"/>
            <w:textDirection w:val="lrTb"/>
            <w:noWrap w:val="false"/>
          </w:tcPr>
          <w:p>
            <w:pPr>
              <w:pStyle w:val="716"/>
              <w:jc w:val="center"/>
            </w:pPr>
            <w:r>
              <w:t xml:space="preserve">шт.</w:t>
            </w:r>
            <w:r/>
          </w:p>
        </w:tc>
        <w:tc>
          <w:tcPr>
            <w:tcW w:w="1701" w:type="dxa"/>
            <w:vAlign w:val="center"/>
            <w:textDirection w:val="lrTb"/>
            <w:noWrap w:val="false"/>
          </w:tcPr>
          <w:p>
            <w:pPr>
              <w:pStyle w:val="716"/>
              <w:jc w:val="center"/>
              <w:rPr>
                <w:b/>
              </w:rPr>
            </w:pPr>
            <w:r>
              <w:rPr>
                <w:b/>
              </w:rPr>
              <w:t xml:space="preserve">1</w:t>
            </w:r>
            <w:r/>
          </w:p>
        </w:tc>
      </w:tr>
    </w:tbl>
    <w:p>
      <w:pPr>
        <w:pStyle w:val="716"/>
        <w:jc w:val="both"/>
        <w:spacing w:after="0" w:line="240" w:lineRule="auto"/>
        <w:rPr>
          <w:b/>
          <w:bCs/>
          <w:i/>
          <w:iCs/>
          <w:lang w:eastAsia="ru-RU"/>
        </w:rPr>
      </w:pPr>
      <w:r>
        <w:rPr>
          <w:b/>
          <w:bCs/>
          <w:i/>
          <w:iCs/>
          <w:lang w:eastAsia="ru-RU"/>
        </w:rPr>
      </w:r>
      <w:r/>
    </w:p>
    <w:p>
      <w:pPr>
        <w:jc w:val="both"/>
        <w:spacing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У ціну мають бути включені прямі, загальновиробничі та адміністративні витрати з урахуванням витрат, у тому числі, але не виключно: транспортні витрати, доплати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працівникам у зв’язку з втратою часу в дорозі, зв’язок, страхування, спецзасоби, а також економічно обґрунтований прибуток, який Постачальник планує отримати в результаті продажу, кошти на покриття ризиків та/або додаткових витрат, пов’язаних з інфляційним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и процесами, усі податки і збори, обов’язкові платежі, що сплачуються або мають бути сплачені Постачальником для поставки Товару, зокрема податок на додану вартість, інші витрати, необхідні для виконання проєкту Договору до моменту його повного завершення.</w:t>
      </w:r>
      <w:r/>
    </w:p>
    <w:p>
      <w:pPr>
        <w:jc w:val="both"/>
        <w:spacing w:line="240" w:lineRule="auto"/>
        <w:rPr>
          <w:rFonts w:ascii="Times New Roman" w:hAnsi="Times New Roman" w:cs="Times New Roman"/>
          <w:sz w:val="24"/>
          <w:szCs w:val="24"/>
          <w:lang w:eastAsia="uk-UA"/>
        </w:rPr>
      </w:pPr>
      <w:r>
        <w:rPr>
          <w:rFonts w:ascii="Times New Roman" w:hAnsi="Times New Roman" w:cs="Times New Roman"/>
          <w:sz w:val="24"/>
          <w:szCs w:val="24"/>
          <w:lang w:eastAsia="uk-UA"/>
        </w:rPr>
        <w:t xml:space="preserve">1. Товар повинен бути новим, з повною комплектацією. З товаром поставляються технічний паспорт чи інструкція з експлуатації українською мовою</w:t>
      </w:r>
      <w:r>
        <w:rPr>
          <w:rFonts w:ascii="Times New Roman" w:hAnsi="Times New Roman" w:cs="Times New Roman"/>
          <w:sz w:val="24"/>
          <w:szCs w:val="24"/>
          <w:lang w:eastAsia="uk-UA"/>
        </w:rPr>
        <w:t xml:space="preserve">, гарантійні талони, набір драйверів тощо,  передбачених для товару. Упаковка, в якій постачається товар, повинна відповідати загальноприйнятим стандартам та технічним умовам, забезпечувати зберігання товару, та/або його неушкодженість при транспортуванні.</w:t>
      </w:r>
      <w:r/>
    </w:p>
    <w:p>
      <w:pPr>
        <w:jc w:val="both"/>
        <w:spacing w:line="240" w:lineRule="auto"/>
        <w:rPr>
          <w:rFonts w:ascii="Times New Roman" w:hAnsi="Times New Roman" w:cs="Times New Roman"/>
          <w:sz w:val="24"/>
          <w:szCs w:val="24"/>
          <w:lang w:eastAsia="uk-UA"/>
        </w:rPr>
      </w:pPr>
      <w:r>
        <w:rPr>
          <w:rFonts w:ascii="Times New Roman" w:hAnsi="Times New Roman" w:cs="Times New Roman"/>
          <w:sz w:val="24"/>
          <w:szCs w:val="24"/>
          <w:lang w:eastAsia="uk-UA"/>
        </w:rPr>
        <w:t xml:space="preserve">2. Технічні та якісні характеристики повинні відповідати вимогам та стандартам відповідних діючих нормативних документів.</w:t>
      </w:r>
      <w:r/>
    </w:p>
    <w:p>
      <w:pPr>
        <w:jc w:val="both"/>
        <w:spacing w:line="240" w:lineRule="auto"/>
        <w:rPr>
          <w:rFonts w:ascii="Times New Roman" w:hAnsi="Times New Roman" w:cs="Times New Roman"/>
          <w:sz w:val="24"/>
          <w:szCs w:val="24"/>
          <w:lang w:eastAsia="uk-UA"/>
        </w:rPr>
      </w:pPr>
      <w:r>
        <w:rPr>
          <w:rFonts w:ascii="Times New Roman" w:hAnsi="Times New Roman" w:cs="Times New Roman"/>
          <w:sz w:val="24"/>
          <w:szCs w:val="24"/>
          <w:lang w:eastAsia="uk-UA"/>
        </w:rPr>
        <w:t xml:space="preserve">3. Доставка товару здійснюється за рахунок та силами Постачальника, у терміни попередньо узгоджені, і визначається в кожному випадку замовленням Замовника.</w:t>
      </w:r>
      <w:r/>
    </w:p>
    <w:p>
      <w:pPr>
        <w:jc w:val="both"/>
        <w:spacing w:line="240" w:lineRule="auto"/>
        <w:rPr>
          <w:rFonts w:ascii="Times New Roman" w:hAnsi="Times New Roman" w:cs="Times New Roman"/>
          <w:sz w:val="24"/>
          <w:szCs w:val="24"/>
          <w:lang w:eastAsia="uk-UA"/>
        </w:rPr>
      </w:pPr>
      <w:r>
        <w:rPr>
          <w:rFonts w:ascii="Times New Roman" w:hAnsi="Times New Roman" w:cs="Times New Roman"/>
          <w:sz w:val="24"/>
          <w:szCs w:val="24"/>
          <w:lang w:eastAsia="uk-UA"/>
        </w:rPr>
        <w:t xml:space="preserve">4. Приймання товарів проводиться при наявності товаро супроводжуючих документів, видаткової накладної та копії документів, що підтверджують якість товарів.</w:t>
      </w:r>
      <w:r/>
    </w:p>
    <w:p>
      <w:pPr>
        <w:jc w:val="both"/>
        <w:spacing w:line="240" w:lineRule="auto"/>
        <w:rPr>
          <w:rFonts w:ascii="Times New Roman" w:hAnsi="Times New Roman" w:cs="Times New Roman"/>
          <w:sz w:val="24"/>
          <w:szCs w:val="24"/>
          <w:lang w:eastAsia="uk-UA"/>
        </w:rPr>
      </w:pPr>
      <w:r>
        <w:rPr>
          <w:rFonts w:ascii="Times New Roman" w:hAnsi="Times New Roman" w:cs="Times New Roman"/>
          <w:sz w:val="24"/>
          <w:szCs w:val="24"/>
          <w:lang w:eastAsia="uk-UA"/>
        </w:rPr>
        <w:t xml:space="preserve">5. Гарантія на товар повинна бути не менше гарантії виробника та складати не менше 12 (дванадцять) місяців (надати гарантійний лист)</w:t>
      </w:r>
      <w:r/>
    </w:p>
    <w:p>
      <w:pPr>
        <w:jc w:val="both"/>
        <w:spacing w:line="240" w:lineRule="auto"/>
        <w:rPr>
          <w:rFonts w:ascii="Times New Roman" w:hAnsi="Times New Roman" w:eastAsia="Times New Roman1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uk-UA"/>
        </w:rPr>
        <w:t xml:space="preserve">6. </w:t>
      </w:r>
      <w:r>
        <w:rPr>
          <w:rFonts w:ascii="Times New Roman" w:hAnsi="Times New Roman" w:eastAsia="Times New Roman1" w:cs="Times New Roman"/>
          <w:sz w:val="24"/>
          <w:szCs w:val="24"/>
        </w:rPr>
        <w:t xml:space="preserve">Товар, що є предметом закупівлі, постачається у зібраному вигляді, готовим до використання.</w:t>
      </w:r>
      <w:r/>
    </w:p>
    <w:p>
      <w:pPr>
        <w:jc w:val="both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uk-UA"/>
        </w:rPr>
        <w:t xml:space="preserve">7. </w:t>
      </w:r>
      <w:r>
        <w:rPr>
          <w:rFonts w:ascii="Times New Roman" w:hAnsi="Times New Roman" w:cs="Times New Roman"/>
          <w:sz w:val="24"/>
          <w:szCs w:val="24"/>
        </w:rPr>
        <w:t xml:space="preserve">Враховуючи специфіку будівлі та складність розташування меблів, з урахуванням вигот</w:t>
      </w:r>
      <w:r>
        <w:rPr>
          <w:rFonts w:ascii="Times New Roman" w:hAnsi="Times New Roman" w:cs="Times New Roman"/>
          <w:sz w:val="24"/>
          <w:szCs w:val="24"/>
        </w:rPr>
        <w:t xml:space="preserve">овлення меблів під розміри кімнат в установі, Учаснику, до закінчення кінцевого строку подання тендерних пропозицій необхідно відвідати об’єкт за адресою замовника ознайомитися з специфікою розташування меблів та здійснити самостійні заміри, за результатам</w:t>
      </w:r>
      <w:r>
        <w:rPr>
          <w:rFonts w:ascii="Times New Roman" w:hAnsi="Times New Roman" w:cs="Times New Roman"/>
          <w:sz w:val="24"/>
          <w:szCs w:val="24"/>
        </w:rPr>
        <w:t xml:space="preserve">и чого складається довідка/акт про те, що учасник/уповноважена особа учасника (прізвище, ім’я, по-батькові, посада) у присутності представника(ів) Замовника (прізвище, ім’я, по-батькові, посада) ознайомився(лась) і зобов’язується, що у разі обрання учасник</w:t>
      </w:r>
      <w:r>
        <w:rPr>
          <w:rFonts w:ascii="Times New Roman" w:hAnsi="Times New Roman" w:cs="Times New Roman"/>
          <w:sz w:val="24"/>
          <w:szCs w:val="24"/>
        </w:rPr>
        <w:t xml:space="preserve">а переможцем процедури закупівлі, при постачанні товару продукція учасника буде відповідати технічним, якісним та кількісним характеристикам предмету закупівлі та замірам, що провів Учасник. Дану довідку просимо дозвантажити у тендерну пропозицію Учасника.</w:t>
      </w:r>
      <w:r/>
    </w:p>
    <w:p>
      <w:pPr>
        <w:jc w:val="both"/>
        <w:spacing w:line="240" w:lineRule="auto"/>
        <w:rPr>
          <w:rFonts w:ascii="Times New Roman" w:hAnsi="Times New Roman" w:cs="Times New Roman"/>
          <w:sz w:val="24"/>
          <w:szCs w:val="24"/>
          <w:lang w:eastAsia="uk-UA"/>
        </w:rPr>
      </w:pPr>
      <w:r>
        <w:rPr>
          <w:rFonts w:ascii="Times New Roman" w:hAnsi="Times New Roman" w:cs="Times New Roman"/>
          <w:sz w:val="24"/>
          <w:szCs w:val="24"/>
        </w:rPr>
        <w:t xml:space="preserve">8. Надати у складі тендерної документації копії діючих сертифікати ISO 9001:2018; ISO 4501:2019; ISO 28000:2008; ISO 14001:2015 та Висновку державної санітарно-епідеміологічної експертизи на меблі.</w:t>
      </w:r>
      <w:r/>
    </w:p>
    <w:p>
      <w:pPr>
        <w:ind w:left="14" w:firstLine="538"/>
        <w:jc w:val="both"/>
        <w:spacing w:line="240" w:lineRule="auto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У разі, якщо характеристики товару, що пропонується Учасником до постачання, відрізняються від характеристик, які вимагаються Замовником, такий учасник у складі тендерної пропозиції надає таблицю відповідності за нижченаведеною формою.</w:t>
      </w:r>
      <w:r/>
    </w:p>
    <w:p>
      <w:pPr>
        <w:contextualSpacing/>
        <w:ind w:left="14" w:firstLine="538"/>
        <w:jc w:val="center"/>
        <w:spacing w:line="240" w:lineRule="auto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ar-SA"/>
        </w:rPr>
        <w:t xml:space="preserve">Таблиця відповідності</w:t>
      </w:r>
      <w:r/>
    </w:p>
    <w:p>
      <w:pPr>
        <w:contextualSpacing/>
        <w:spacing w:line="240" w:lineRule="auto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</w:r>
      <w:r/>
    </w:p>
    <w:tbl>
      <w:tblPr>
        <w:tblpPr w:horzAnchor="margin" w:tblpXSpec="left" w:vertAnchor="text" w:tblpY="-62" w:leftFromText="180" w:topFromText="0" w:rightFromText="180" w:bottomFromText="0"/>
        <w:tblW w:w="1003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997"/>
        <w:gridCol w:w="2928"/>
        <w:gridCol w:w="3163"/>
        <w:gridCol w:w="2943"/>
      </w:tblGrid>
      <w:tr>
        <w:trPr/>
        <w:tc>
          <w:tcPr>
            <w:tcW w:w="520" w:type="dxa"/>
            <w:vAlign w:val="center"/>
            <w:textDirection w:val="lrTb"/>
            <w:noWrap w:val="false"/>
          </w:tcPr>
          <w:p>
            <w:pPr>
              <w:contextualSpacing/>
              <w:ind w:left="14" w:firstLine="538"/>
              <w:jc w:val="center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 xml:space="preserve">№ з/п</w:t>
            </w:r>
            <w:r/>
          </w:p>
        </w:tc>
        <w:tc>
          <w:tcPr>
            <w:tcW w:w="3000" w:type="dxa"/>
            <w:vAlign w:val="center"/>
            <w:textDirection w:val="lrTb"/>
            <w:noWrap w:val="false"/>
          </w:tcPr>
          <w:p>
            <w:pPr>
              <w:contextualSpacing/>
              <w:ind w:left="14" w:firstLine="538"/>
              <w:jc w:val="center"/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 xml:space="preserve">Характеристика</w:t>
            </w:r>
            <w:r/>
          </w:p>
        </w:tc>
        <w:tc>
          <w:tcPr>
            <w:tcW w:w="3396" w:type="dxa"/>
            <w:vAlign w:val="center"/>
            <w:textDirection w:val="lrTb"/>
            <w:noWrap w:val="false"/>
          </w:tcPr>
          <w:p>
            <w:pPr>
              <w:contextualSpacing/>
              <w:ind w:left="14" w:firstLine="538"/>
              <w:jc w:val="center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 xml:space="preserve">Опис технічних вимог, які визначені Замовником</w:t>
            </w:r>
            <w:r/>
          </w:p>
        </w:tc>
        <w:tc>
          <w:tcPr>
            <w:tcW w:w="3115" w:type="dxa"/>
            <w:vAlign w:val="center"/>
            <w:textDirection w:val="lrTb"/>
            <w:noWrap w:val="false"/>
          </w:tcPr>
          <w:p>
            <w:pPr>
              <w:contextualSpacing/>
              <w:ind w:left="14" w:firstLine="538"/>
              <w:jc w:val="center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 xml:space="preserve">Опис технічних вимог, які  пропонуються Учасником</w:t>
            </w:r>
            <w:r/>
          </w:p>
        </w:tc>
      </w:tr>
    </w:tbl>
    <w:p>
      <w:pPr>
        <w:ind w:firstLine="263"/>
        <w:jc w:val="both"/>
        <w:spacing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Товар повинен відповідати вимогам:</w:t>
      </w:r>
      <w:r/>
    </w:p>
    <w:p>
      <w:pPr>
        <w:ind w:firstLine="263"/>
        <w:jc w:val="both"/>
        <w:spacing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- Закону України від 14.08.2014р. № 1644-VІІ «Про санкції»,</w:t>
      </w:r>
      <w:r/>
    </w:p>
    <w:p>
      <w:pPr>
        <w:ind w:firstLine="263"/>
        <w:jc w:val="both"/>
        <w:spacing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- Указу Президента України від 15.05.2017р. № 133/2017 «Про рішення Ради національної безпеки і оборони України від 28 квітня 2017 року «Про застосування персональних спеціальних економічних та інших обмежувальних заходів (санкцій)»,</w:t>
      </w:r>
      <w:r/>
    </w:p>
    <w:p>
      <w:pPr>
        <w:ind w:firstLine="263"/>
        <w:jc w:val="both"/>
        <w:spacing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- Постанови КМУ від 16.12.2015р. № 1035 «Про обмеження поставок окремих товарів(робіт, послуг) з тимчасово окупованої території на іншу територію України та/або з іншої території України на тимчасово окуповану територію»,</w:t>
      </w:r>
      <w:r/>
    </w:p>
    <w:p>
      <w:pPr>
        <w:ind w:firstLine="263"/>
        <w:jc w:val="both"/>
        <w:spacing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- п/п. 4 п.2 частини першої Розпорядження Кабінету Міністрів України від 11.09.2014 р. №829-р «Про пропозиції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щодо застосування персональних спеціальних економічних та інших обмежувальних заходів», згідно з якими заборонено здійснення державних закупівель товарів, робіт і послуг у юридичних осіб - резидентів Російської Федерації державної форми власності та юриди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чних осіб, частка статутного капіталу яких перебуває у власності Російської Федерації, а також у інших суб’єктів господарювання, що здійснюють продаж товарів, робіт і послуг походженням з Російської Федерації, крім випадків, коли заміщення таких предметів 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закупівлі іншими неможливе, що підтверджено Міністерством економічного розвитку і торгівлі.</w:t>
      </w:r>
      <w:r/>
    </w:p>
    <w:p>
      <w:pPr>
        <w:ind w:firstLine="263"/>
        <w:jc w:val="both"/>
        <w:spacing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У разі якщо товар не відповідає технічним вимогам Замовника або Учасник не в змозі виконати умови поставки, які визначені Замовником, Пропозиція відхиляється.</w:t>
      </w:r>
      <w:r/>
    </w:p>
    <w:p>
      <w:pPr>
        <w:pStyle w:val="712"/>
        <w:ind w:left="0" w:firstLine="567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uk-UA"/>
        </w:rPr>
        <w:t xml:space="preserve">СПЕЦИФІКАЦІЯ:</w:t>
      </w:r>
      <w:r/>
    </w:p>
    <w:p>
      <w:pPr>
        <w:pStyle w:val="712"/>
        <w:ind w:left="0" w:firstLine="567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uk-UA"/>
        </w:rPr>
      </w:r>
      <w:r/>
    </w:p>
    <w:p>
      <w:pPr>
        <w:pStyle w:val="712"/>
        <w:numPr>
          <w:ilvl w:val="0"/>
          <w:numId w:val="32"/>
        </w:numPr>
        <w:jc w:val="center"/>
        <w:spacing w:after="0" w:line="240" w:lineRule="auto"/>
        <w:shd w:val="clear" w:color="auto" w:fill="ffffff"/>
        <w:rPr>
          <w:rFonts w:ascii="Times New Roman" w:hAnsi="Times New Roman" w:cs="Times New Roman"/>
          <w:b/>
          <w:smallCaps/>
          <w:color w:val="000000"/>
          <w:sz w:val="24"/>
          <w:szCs w:val="24"/>
          <w:u w:val="single"/>
        </w:rPr>
      </w:pPr>
      <w:r/>
      <w:bookmarkStart w:id="2" w:name="_Hlk147505208"/>
      <w:r>
        <w:rPr>
          <w:rFonts w:ascii="Times New Roman" w:hAnsi="Times New Roman" w:cs="Times New Roman"/>
          <w:b/>
          <w:smallCaps/>
          <w:color w:val="000000"/>
          <w:sz w:val="24"/>
          <w:szCs w:val="24"/>
          <w:u w:val="single"/>
        </w:rPr>
        <w:t xml:space="preserve">Комплект меблів кабінет № 218 </w:t>
      </w:r>
      <w:bookmarkEnd w:id="2"/>
      <w:r/>
    </w:p>
    <w:p>
      <w:pPr>
        <w:jc w:val="center"/>
        <w:spacing w:after="0" w:line="240" w:lineRule="auto"/>
        <w:shd w:val="clear" w:color="auto" w:fill="ffffff"/>
        <w:rPr>
          <w:rFonts w:ascii="Times New Roman" w:hAnsi="Times New Roman" w:cs="Times New Roman"/>
          <w:b/>
          <w:smallCaps/>
          <w:color w:val="00000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mallCaps/>
          <w:color w:val="000000"/>
          <w:sz w:val="24"/>
          <w:szCs w:val="24"/>
          <w:u w:val="single"/>
        </w:rPr>
      </w:r>
      <w:r/>
    </w:p>
    <w:p>
      <w:pPr>
        <w:spacing w:after="0" w:line="240" w:lineRule="auto"/>
        <w:shd w:val="clear" w:color="auto" w:fill="ffffff"/>
        <w:rPr>
          <w:rFonts w:ascii="Times New Roman" w:hAnsi="Times New Roman" w:cs="Times New Roman"/>
          <w:bCs/>
          <w:smallCap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smallCaps/>
          <w:color w:val="000000"/>
          <w:sz w:val="24"/>
          <w:szCs w:val="24"/>
        </w:rPr>
        <w:t xml:space="preserve">Робоча станція на одну особу із приставкою та тумбою </w:t>
      </w:r>
      <w:r>
        <w:rPr>
          <w:rFonts w:ascii="Times New Roman" w:hAnsi="Times New Roman" w:cs="Times New Roman"/>
          <w:bCs/>
          <w:smallCaps/>
          <w:color w:val="000000"/>
          <w:sz w:val="24"/>
          <w:szCs w:val="24"/>
        </w:rPr>
        <w:t xml:space="preserve">(права сторона)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Кількість – 1 шт.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Ширина – 2000 мм.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Глибина – 2600 мм.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Висота – 750 мм. 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Матеріал: ДСП лам. Kronospan 1715 BS Береза (1 сорт)  2800х2070х18мм.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Оброблення фасадів: ДСП лам. Kronospan 7045 SU Сатин (1 сорт)  2800х2070х18мм. </w:t>
      </w:r>
      <w:r>
        <w:rPr>
          <w:rFonts w:ascii="Times New Roman" w:hAnsi="Times New Roman" w:cs="Times New Roman"/>
          <w:sz w:val="24"/>
          <w:szCs w:val="24"/>
        </w:rPr>
        <w:br/>
        <w:t xml:space="preserve">Ручка HEXI чорна L=192 мм - 20 м – 7 шт.</w:t>
      </w:r>
      <w:r>
        <w:rPr>
          <w:rFonts w:ascii="Times New Roman" w:hAnsi="Times New Roman" w:cs="Times New Roman"/>
          <w:sz w:val="24"/>
          <w:szCs w:val="24"/>
        </w:rPr>
        <w:br/>
        <w:t xml:space="preserve">Напрямна телескопічна з дотягом – 4 шт.</w:t>
      </w:r>
      <w:r>
        <w:rPr>
          <w:rFonts w:ascii="Times New Roman" w:hAnsi="Times New Roman" w:cs="Times New Roman"/>
          <w:sz w:val="24"/>
          <w:szCs w:val="24"/>
        </w:rPr>
        <w:br/>
        <w:t xml:space="preserve">Петлі з доводчкиками – 6 шт.</w:t>
      </w:r>
      <w:r/>
    </w:p>
    <w:p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Calibri" w:cs="Times New Roman"/>
          <w:bCs/>
          <w:sz w:val="24"/>
          <w:szCs w:val="24"/>
          <w:lang w:eastAsia="uk-UA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9264" behindDoc="1" locked="0" layoutInCell="1" allowOverlap="1">
                <wp:simplePos x="0" y="0"/>
                <wp:positionH relativeFrom="page">
                  <wp:posOffset>1637665</wp:posOffset>
                </wp:positionH>
                <wp:positionV relativeFrom="paragraph">
                  <wp:posOffset>146050</wp:posOffset>
                </wp:positionV>
                <wp:extent cx="4600575" cy="2430145"/>
                <wp:effectExtent l="0" t="0" r="9525" b="8255"/>
                <wp:wrapTight wrapText="bothSides">
                  <wp:wrapPolygon edited="1">
                    <wp:start x="0" y="0"/>
                    <wp:lineTo x="0" y="21504"/>
                    <wp:lineTo x="21555" y="21504"/>
                    <wp:lineTo x="21555" y="0"/>
                    <wp:lineTo x="0" y="0"/>
                  </wp:wrapPolygon>
                </wp:wrapTight>
                <wp:docPr id="1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4600575" cy="2430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position:absolute;z-index:-251659264;o:allowoverlap:true;o:allowincell:true;mso-position-horizontal-relative:page;margin-left:128.9pt;mso-position-horizontal:absolute;mso-position-vertical-relative:text;margin-top:11.5pt;mso-position-vertical:absolute;width:362.2pt;height:191.3pt;mso-wrap-distance-left:9.0pt;mso-wrap-distance-top:0.0pt;mso-wrap-distance-right:9.0pt;mso-wrap-distance-bottom:0.0pt;" wrapcoords="0 0 0 99556 99792 99556 99792 0 0 0" stroked="f">
                <v:path textboxrect="0,0,0,0"/>
                <w10:wrap type="tight"/>
                <v:imagedata r:id="rId12" o:title=""/>
              </v:shape>
            </w:pict>
          </mc:Fallback>
        </mc:AlternateContent>
      </w:r>
      <w:r/>
    </w:p>
    <w:p>
      <w:pPr>
        <w:jc w:val="center"/>
        <w:shd w:val="clear" w:color="auto" w:fill="ffffff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/>
    </w:p>
    <w:p>
      <w:pPr>
        <w:jc w:val="center"/>
        <w:shd w:val="clear" w:color="auto" w:fill="ffffff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/>
    </w:p>
    <w:p>
      <w:pPr>
        <w:jc w:val="center"/>
        <w:shd w:val="clear" w:color="auto" w:fill="ffffff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/>
    </w:p>
    <w:p>
      <w:pPr>
        <w:jc w:val="center"/>
        <w:shd w:val="clear" w:color="auto" w:fill="ffffff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/>
    </w:p>
    <w:p>
      <w:pPr>
        <w:jc w:val="center"/>
        <w:shd w:val="clear" w:color="auto" w:fill="ffffff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/>
    </w:p>
    <w:p>
      <w:pPr>
        <w:jc w:val="center"/>
        <w:shd w:val="clear" w:color="auto" w:fill="ffffff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/>
    </w:p>
    <w:p>
      <w:pPr>
        <w:jc w:val="center"/>
        <w:shd w:val="clear" w:color="auto" w:fill="ffffff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/>
    </w:p>
    <w:p>
      <w:pPr>
        <w:jc w:val="center"/>
        <w:shd w:val="clear" w:color="auto" w:fill="ffffff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/>
    </w:p>
    <w:p>
      <w:pPr>
        <w:jc w:val="center"/>
        <w:shd w:val="clear" w:color="auto" w:fill="ffffff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eastAsia="Calibri" w:cs="Times New Roman"/>
          <w:bCs/>
          <w:sz w:val="24"/>
          <w:szCs w:val="24"/>
          <w:lang w:eastAsia="uk-UA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0288" behindDoc="1" locked="0" layoutInCell="1" allowOverlap="1">
                <wp:simplePos x="0" y="0"/>
                <wp:positionH relativeFrom="page">
                  <wp:posOffset>1619250</wp:posOffset>
                </wp:positionH>
                <wp:positionV relativeFrom="paragraph">
                  <wp:posOffset>178435</wp:posOffset>
                </wp:positionV>
                <wp:extent cx="4895850" cy="2628900"/>
                <wp:effectExtent l="0" t="0" r="0" b="0"/>
                <wp:wrapTight wrapText="bothSides">
                  <wp:wrapPolygon edited="1">
                    <wp:start x="0" y="0"/>
                    <wp:lineTo x="0" y="21443"/>
                    <wp:lineTo x="21516" y="21443"/>
                    <wp:lineTo x="21516" y="0"/>
                    <wp:lineTo x="0" y="0"/>
                  </wp:wrapPolygon>
                </wp:wrapTight>
                <wp:docPr id="2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rcRect l="0" t="15574" r="0" b="0"/>
                        <a:stretch/>
                      </pic:blipFill>
                      <pic:spPr bwMode="auto">
                        <a:xfrm>
                          <a:off x="0" y="0"/>
                          <a:ext cx="4895850" cy="262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position:absolute;z-index:-251660288;o:allowoverlap:true;o:allowincell:true;mso-position-horizontal-relative:page;margin-left:127.5pt;mso-position-horizontal:absolute;mso-position-vertical-relative:text;margin-top:14.0pt;mso-position-vertical:absolute;width:385.5pt;height:207.0pt;mso-wrap-distance-left:9.0pt;mso-wrap-distance-top:0.0pt;mso-wrap-distance-right:9.0pt;mso-wrap-distance-bottom:0.0pt;" wrapcoords="0 0 0 99273 99611 99273 99611 0 0 0" stroked="f">
                <v:path textboxrect="0,0,0,0"/>
                <w10:wrap type="tight"/>
                <v:imagedata r:id="rId13" o:title=""/>
              </v:shape>
            </w:pict>
          </mc:Fallback>
        </mc:AlternateContent>
      </w:r>
      <w:r/>
    </w:p>
    <w:p>
      <w:pPr>
        <w:jc w:val="center"/>
        <w:shd w:val="clear" w:color="auto" w:fill="ffffff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/>
    </w:p>
    <w:p>
      <w:pPr>
        <w:jc w:val="center"/>
        <w:shd w:val="clear" w:color="auto" w:fill="ffffff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/>
    </w:p>
    <w:p>
      <w:p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</w:r>
      <w:r/>
    </w:p>
    <w:p>
      <w:p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</w:r>
      <w:r/>
    </w:p>
    <w:p>
      <w:p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</w:r>
      <w:r/>
    </w:p>
    <w:p>
      <w:p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</w:r>
      <w:r/>
    </w:p>
    <w:p>
      <w:p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</w:r>
      <w:r/>
    </w:p>
    <w:p>
      <w:p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</w:r>
      <w:r/>
    </w:p>
    <w:p>
      <w:p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</w:r>
      <w:r/>
    </w:p>
    <w:p>
      <w:p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</w:r>
      <w:r/>
    </w:p>
    <w:p>
      <w:p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</w:r>
      <w:r/>
    </w:p>
    <w:p>
      <w:p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</w:r>
      <w:r/>
    </w:p>
    <w:p>
      <w:pPr>
        <w:rPr>
          <w:rFonts w:ascii="Times New Roman" w:hAnsi="Times New Roman" w:eastAsia="Calibri" w:cs="Times New Roman"/>
          <w:bCs/>
          <w:sz w:val="24"/>
          <w:szCs w:val="24"/>
        </w:rPr>
      </w:pPr>
      <w:r>
        <w:rPr>
          <w:rFonts w:ascii="Times New Roman" w:hAnsi="Times New Roman" w:eastAsia="Calibri" w:cs="Times New Roman"/>
          <w:b/>
          <w:sz w:val="24"/>
          <w:szCs w:val="24"/>
        </w:rPr>
        <w:t xml:space="preserve">Дворівнева полиця підвісна </w:t>
      </w:r>
      <w:r>
        <w:rPr>
          <w:rFonts w:ascii="Times New Roman" w:hAnsi="Times New Roman" w:eastAsia="Calibri" w:cs="Times New Roman"/>
          <w:bCs/>
          <w:sz w:val="24"/>
          <w:szCs w:val="24"/>
        </w:rPr>
        <w:t xml:space="preserve">(права сторона)</w:t>
      </w:r>
      <w:r>
        <w:rPr>
          <w:rFonts w:ascii="Times New Roman" w:hAnsi="Times New Roman" w:eastAsia="Calibri" w:cs="Times New Roman"/>
          <w:b/>
          <w:sz w:val="24"/>
          <w:szCs w:val="24"/>
        </w:rPr>
        <w:t xml:space="preserve">:</w:t>
      </w:r>
      <w:r>
        <w:rPr>
          <w:rFonts w:ascii="Times New Roman" w:hAnsi="Times New Roman" w:eastAsia="Calibri" w:cs="Times New Roman"/>
          <w:b/>
          <w:sz w:val="24"/>
          <w:szCs w:val="24"/>
        </w:rPr>
        <w:br/>
      </w:r>
      <w:r>
        <w:rPr>
          <w:rFonts w:ascii="Times New Roman" w:hAnsi="Times New Roman" w:eastAsia="Calibri" w:cs="Times New Roman"/>
          <w:bCs/>
          <w:sz w:val="24"/>
          <w:szCs w:val="24"/>
        </w:rPr>
        <w:t xml:space="preserve">Кількість – 1 шт.</w:t>
      </w:r>
      <w:r>
        <w:rPr>
          <w:rFonts w:ascii="Times New Roman" w:hAnsi="Times New Roman" w:eastAsia="Calibri" w:cs="Times New Roman"/>
          <w:bCs/>
          <w:sz w:val="24"/>
          <w:szCs w:val="24"/>
        </w:rPr>
        <w:br/>
        <w:t xml:space="preserve">Ширина – 1550 мм.</w:t>
      </w:r>
      <w:r>
        <w:rPr>
          <w:rFonts w:ascii="Times New Roman" w:hAnsi="Times New Roman" w:eastAsia="Calibri" w:cs="Times New Roman"/>
          <w:bCs/>
          <w:sz w:val="24"/>
          <w:szCs w:val="24"/>
        </w:rPr>
        <w:br/>
        <w:t xml:space="preserve">Глибина – 280 мм.</w:t>
      </w:r>
      <w:r>
        <w:rPr>
          <w:rFonts w:ascii="Times New Roman" w:hAnsi="Times New Roman" w:eastAsia="Calibri" w:cs="Times New Roman"/>
          <w:bCs/>
          <w:sz w:val="24"/>
          <w:szCs w:val="24"/>
        </w:rPr>
        <w:br/>
        <w:t xml:space="preserve">Висота – 700 мм.</w:t>
      </w:r>
      <w:r/>
    </w:p>
    <w:p>
      <w:pPr>
        <w:rPr>
          <w:rFonts w:ascii="Times New Roman" w:hAnsi="Times New Roman" w:eastAsia="Calibri" w:cs="Times New Roman"/>
          <w:bCs/>
          <w:sz w:val="24"/>
          <w:szCs w:val="24"/>
        </w:rPr>
      </w:pPr>
      <w:r>
        <w:rPr>
          <w:rFonts w:ascii="Times New Roman" w:hAnsi="Times New Roman" w:eastAsia="Calibri" w:cs="Times New Roman"/>
          <w:bCs/>
          <w:sz w:val="24"/>
          <w:szCs w:val="24"/>
        </w:rPr>
      </w:r>
      <w:r/>
    </w:p>
    <w:p>
      <w:pPr>
        <w:rPr>
          <w:rFonts w:ascii="Times New Roman" w:hAnsi="Times New Roman" w:eastAsia="Calibri" w:cs="Times New Roman"/>
          <w:b/>
          <w:sz w:val="24"/>
          <w:szCs w:val="24"/>
        </w:rPr>
      </w:pPr>
      <w:r>
        <w:rPr>
          <w:rFonts w:ascii="Times New Roman" w:hAnsi="Times New Roman" w:eastAsia="Calibri" w:cs="Times New Roman"/>
          <w:bCs/>
          <w:sz w:val="24"/>
          <w:szCs w:val="24"/>
          <w:lang w:eastAsia="uk-UA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438646" cy="1600835"/>
                <wp:effectExtent l="0" t="0" r="635" b="0"/>
                <wp:docPr id="3" name="Рисунок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3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"/>
                        <a:srcRect l="0" t="17596" r="0" b="15251"/>
                        <a:stretch/>
                      </pic:blipFill>
                      <pic:spPr bwMode="auto">
                        <a:xfrm>
                          <a:off x="0" y="0"/>
                          <a:ext cx="4545010" cy="16391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349.5pt;height:126.0pt;mso-wrap-distance-left:0.0pt;mso-wrap-distance-top:0.0pt;mso-wrap-distance-right:0.0pt;mso-wrap-distance-bottom:0.0pt;" stroked="f">
                <v:path textboxrect="0,0,0,0"/>
                <v:imagedata r:id="rId14" o:title=""/>
              </v:shape>
            </w:pict>
          </mc:Fallback>
        </mc:AlternateContent>
      </w:r>
      <w:r/>
    </w:p>
    <w:p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</w:r>
      <w:r/>
    </w:p>
    <w:p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eastAsia="Calibri" w:cs="Times New Roman"/>
          <w:b/>
          <w:sz w:val="24"/>
          <w:szCs w:val="24"/>
        </w:rPr>
        <w:t xml:space="preserve">Стелаж-шафа </w:t>
      </w:r>
      <w:r>
        <w:rPr>
          <w:rFonts w:ascii="Times New Roman" w:hAnsi="Times New Roman" w:eastAsia="Calibri" w:cs="Times New Roman"/>
          <w:bCs/>
          <w:sz w:val="24"/>
          <w:szCs w:val="24"/>
        </w:rPr>
        <w:t xml:space="preserve">(для документів+гардероб)</w:t>
      </w:r>
      <w:r/>
    </w:p>
    <w:p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Кількість – 1 шт.</w:t>
      </w:r>
      <w:r/>
    </w:p>
    <w:p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Ширина – 2300 мм.</w:t>
      </w:r>
      <w:r/>
    </w:p>
    <w:p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Глибина – 600 мм.</w:t>
      </w:r>
      <w:r/>
    </w:p>
    <w:p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Висота – 2100 мм. </w:t>
      </w:r>
      <w:r/>
    </w:p>
    <w:p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Матеріал: ДСП лам. Kronospan 1715 BS Береза (1 сорт)  2800х2070х18мм</w:t>
      </w:r>
      <w:r/>
    </w:p>
    <w:p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Оброблення фасадів: ДСП лам. Kronospan 7045 SU Сатин (1 сорт)  2800х2070х18мм</w:t>
      </w:r>
      <w:r/>
    </w:p>
    <w:p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Ручка HEXI чорна L=192 мм - 20 м – 5 шт. </w:t>
      </w:r>
      <w:r>
        <w:rPr>
          <w:rFonts w:ascii="Times New Roman" w:hAnsi="Times New Roman" w:cs="Times New Roman"/>
          <w:sz w:val="24"/>
          <w:szCs w:val="24"/>
        </w:rPr>
        <w:br/>
        <w:t xml:space="preserve">Петлі з доводчкиками – 20 шт.</w:t>
      </w:r>
      <w:r>
        <w:rPr>
          <w:rFonts w:ascii="Times New Roman" w:hAnsi="Times New Roman" w:cs="Times New Roman"/>
          <w:sz w:val="24"/>
          <w:szCs w:val="24"/>
        </w:rPr>
        <w:br/>
        <w:t xml:space="preserve">Труба для одягу металева -1 шт.</w:t>
      </w:r>
      <w:r>
        <w:rPr>
          <w:rFonts w:ascii="Times New Roman" w:hAnsi="Times New Roman" w:cs="Times New Roman"/>
          <w:sz w:val="24"/>
          <w:szCs w:val="24"/>
        </w:rPr>
        <w:br/>
        <w:t xml:space="preserve">Фасади скляні з алюмінієвим профілем: 2 шт.</w:t>
      </w:r>
      <w:r/>
    </w:p>
    <w:p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eastAsia="uk-UA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131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6985</wp:posOffset>
                </wp:positionV>
                <wp:extent cx="5212715" cy="3659505"/>
                <wp:effectExtent l="0" t="0" r="6985" b="0"/>
                <wp:wrapNone/>
                <wp:docPr id="4" name="Рисунок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5212715" cy="36595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position:absolute;z-index:251661312;o:allowoverlap:true;o:allowincell:true;mso-position-horizontal-relative:margin;mso-position-horizontal:left;mso-position-vertical-relative:text;margin-top:0.5pt;mso-position-vertical:absolute;width:410.4pt;height:288.1pt;mso-wrap-distance-left:9.0pt;mso-wrap-distance-top:0.0pt;mso-wrap-distance-right:9.0pt;mso-wrap-distance-bottom:0.0pt;" stroked="false">
                <v:path textboxrect="0,0,0,0"/>
                <v:imagedata r:id="rId15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sz w:val="24"/>
          <w:szCs w:val="24"/>
        </w:rPr>
        <w:br/>
      </w:r>
      <w:r/>
    </w:p>
    <w:p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</w:r>
      <w:r/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eastAsia="Calibri" w:cs="Times New Roman"/>
          <w:b/>
          <w:sz w:val="24"/>
          <w:szCs w:val="24"/>
        </w:rPr>
        <w:t xml:space="preserve">Пенал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Кількість – 1 шт.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Ширина – 700 мм.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Глибина – 450 мм.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Висота – 2100 мм. 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Матеріал: ДСП лам. Kronospan 1715 BS Береза (1 сорт)  2800х2070х18мм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Оброблення фасадів: ДСП лам. Kronospan 7045 SU Сатин (1 сорт)  2800х2070х18мм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Ручка HEXI чорна L=192 мм - 20 м – 2 шт. </w:t>
      </w:r>
      <w:r>
        <w:rPr>
          <w:rFonts w:ascii="Times New Roman" w:hAnsi="Times New Roman" w:cs="Times New Roman"/>
          <w:sz w:val="24"/>
          <w:szCs w:val="24"/>
        </w:rPr>
        <w:br/>
        <w:t xml:space="preserve">Петлі з доводчкиками – 10 шт.</w:t>
      </w:r>
      <w:r/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rPr>
          <w:rFonts w:ascii="Times New Roman" w:hAnsi="Times New Roman" w:eastAsia="Calibri" w:cs="Times New Roman"/>
          <w:b/>
          <w:sz w:val="24"/>
          <w:szCs w:val="24"/>
        </w:rPr>
      </w:pPr>
      <w:r>
        <w:rPr>
          <w:rFonts w:ascii="Times New Roman" w:hAnsi="Times New Roman" w:eastAsia="Calibri" w:cs="Times New Roman"/>
          <w:bCs/>
          <w:sz w:val="24"/>
          <w:szCs w:val="24"/>
          <w:lang w:eastAsia="uk-UA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998382" cy="3631910"/>
                <wp:effectExtent l="0" t="0" r="0" b="6985"/>
                <wp:docPr id="5" name="Рисунок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6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3045230" cy="368865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236.1pt;height:286.0pt;mso-wrap-distance-left:0.0pt;mso-wrap-distance-top:0.0pt;mso-wrap-distance-right:0.0pt;mso-wrap-distance-bottom:0.0pt;" stroked="false">
                <v:path textboxrect="0,0,0,0"/>
                <v:imagedata r:id="rId16" o:title=""/>
              </v:shape>
            </w:pict>
          </mc:Fallback>
        </mc:AlternateContent>
      </w:r>
      <w:r/>
    </w:p>
    <w:p>
      <w:pPr>
        <w:rPr>
          <w:rFonts w:ascii="Times New Roman" w:hAnsi="Times New Roman" w:eastAsia="Calibri" w:cs="Times New Roman"/>
          <w:b/>
          <w:sz w:val="24"/>
          <w:szCs w:val="24"/>
        </w:rPr>
      </w:pPr>
      <w:r>
        <w:rPr>
          <w:rFonts w:ascii="Times New Roman" w:hAnsi="Times New Roman" w:eastAsia="Calibri" w:cs="Times New Roman"/>
          <w:b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eastAsia="Calibri" w:cs="Times New Roman"/>
          <w:b/>
          <w:sz w:val="24"/>
          <w:szCs w:val="24"/>
        </w:rPr>
        <w:t xml:space="preserve">Журнальний столик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Кількість – 1 шт.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Ширина – 600 мм.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Глибина – 600 мм.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Висота – 450 мм. 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Скляна панель- гартоване скло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Підстільна полиця -метал.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Панель:- ДСП, Меламінова плівка, Пластикова крайка</w:t>
      </w:r>
      <w:r/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Calibri" w:cs="Times New Roman"/>
          <w:bCs/>
          <w:sz w:val="24"/>
          <w:szCs w:val="24"/>
          <w:lang w:eastAsia="uk-UA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233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29845</wp:posOffset>
                </wp:positionV>
                <wp:extent cx="2638003" cy="1905000"/>
                <wp:effectExtent l="0" t="0" r="0" b="0"/>
                <wp:wrapNone/>
                <wp:docPr id="6" name="Рисунок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0026714_-.jpe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7"/>
                        <a:srcRect l="0" t="6930" r="0" b="8316"/>
                        <a:stretch/>
                      </pic:blipFill>
                      <pic:spPr bwMode="auto">
                        <a:xfrm>
                          <a:off x="0" y="0"/>
                          <a:ext cx="2638003" cy="1905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position:absolute;z-index:251662336;o:allowoverlap:true;o:allowincell:true;mso-position-horizontal-relative:margin;mso-position-horizontal:left;mso-position-vertical-relative:text;margin-top:2.4pt;mso-position-vertical:absolute;width:207.7pt;height:150.0pt;mso-wrap-distance-left:9.0pt;mso-wrap-distance-top:0.0pt;mso-wrap-distance-right:9.0pt;mso-wrap-distance-bottom:0.0pt;" stroked="f">
                <v:path textboxrect="0,0,0,0"/>
                <v:imagedata r:id="rId17" o:title=""/>
              </v:shape>
            </w:pict>
          </mc:Fallback>
        </mc:AlternateContent>
      </w:r>
      <w:r/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Calibri" w:cs="Times New Roman"/>
          <w:b/>
          <w:sz w:val="24"/>
          <w:szCs w:val="24"/>
        </w:rPr>
      </w:pPr>
      <w:r>
        <w:rPr>
          <w:rFonts w:ascii="Times New Roman" w:hAnsi="Times New Roman" w:eastAsia="Calibri" w:cs="Times New Roman"/>
          <w:b/>
          <w:sz w:val="24"/>
          <w:szCs w:val="24"/>
        </w:rPr>
        <w:t xml:space="preserve">Кутова робоча станція на одну особу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Кількість – 1 шт.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Ширина – 1800 мм.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Глибина – 1200 мм.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Висота – 750 мм. 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Матеріал: ДСП лам. Kronospan 1715 BS Береза (1 сорт)  2800х2070х18мм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Оброблення фасадів: ДСП лам. Kronospan 7045 SU Сатин (1 сорт)  2800х2070х18мм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Ручка HEXI чорна L=192 мм - 20 м – 5 шт.</w:t>
      </w:r>
      <w:r>
        <w:rPr>
          <w:rFonts w:ascii="Times New Roman" w:hAnsi="Times New Roman" w:cs="Times New Roman"/>
          <w:sz w:val="24"/>
          <w:szCs w:val="24"/>
        </w:rPr>
        <w:br/>
        <w:t xml:space="preserve">Решітка холодильник – 1 шт.</w:t>
      </w:r>
      <w:r>
        <w:rPr>
          <w:rFonts w:ascii="Times New Roman" w:hAnsi="Times New Roman" w:cs="Times New Roman"/>
          <w:sz w:val="24"/>
          <w:szCs w:val="24"/>
        </w:rPr>
        <w:br/>
        <w:t xml:space="preserve">Петлі з доводчкиками – 6 шт.</w:t>
      </w:r>
      <w:r>
        <w:rPr>
          <w:rFonts w:ascii="Times New Roman" w:hAnsi="Times New Roman" w:cs="Times New Roman"/>
          <w:sz w:val="24"/>
          <w:szCs w:val="24"/>
        </w:rPr>
        <w:br/>
      </w:r>
      <w:r/>
    </w:p>
    <w:p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Calibri" w:cs="Times New Roman"/>
          <w:bCs/>
          <w:sz w:val="24"/>
          <w:szCs w:val="24"/>
          <w:lang w:eastAsia="uk-UA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280842" cy="2800350"/>
                <wp:effectExtent l="0" t="0" r="5715" b="0"/>
                <wp:docPr id="7" name="Рисунок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5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4303087" cy="281490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337.1pt;height:220.5pt;mso-wrap-distance-left:0.0pt;mso-wrap-distance-top:0.0pt;mso-wrap-distance-right:0.0pt;mso-wrap-distance-bottom:0.0pt;" stroked="false">
                <v:path textboxrect="0,0,0,0"/>
                <v:imagedata r:id="rId18" o:title=""/>
              </v:shape>
            </w:pict>
          </mc:Fallback>
        </mc:AlternateConten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Calibri" w:cs="Times New Roman"/>
          <w:b/>
          <w:sz w:val="24"/>
          <w:szCs w:val="24"/>
        </w:rPr>
      </w:pPr>
      <w:r>
        <w:rPr>
          <w:rFonts w:ascii="Times New Roman" w:hAnsi="Times New Roman" w:eastAsia="Calibri" w:cs="Times New Roman"/>
          <w:b/>
          <w:sz w:val="24"/>
          <w:szCs w:val="24"/>
        </w:rPr>
        <w:t xml:space="preserve">Тумба мобільна офісна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Кількість – 1 шт.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Ширина – 450 мм.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Глибина – 500 мм.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Висота – 700 мм. 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Матеріал: ДСП лам. Kronospan 1715 BS Береза (1 сорт)  2800х2070х18мм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Оброблення фасадів: ДСП лам. Kronospan 7045 SU Сатин (1 сорт)  2800х2070х18мм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Ручка HEXI чорна L=192 мм - 20 м – 4 шт. </w:t>
      </w:r>
      <w:r>
        <w:rPr>
          <w:rFonts w:ascii="Times New Roman" w:hAnsi="Times New Roman" w:cs="Times New Roman"/>
          <w:sz w:val="24"/>
          <w:szCs w:val="24"/>
        </w:rPr>
        <w:br/>
        <w:t xml:space="preserve">Напрямні роликові – 4 шт.</w:t>
      </w:r>
      <w:r/>
    </w:p>
    <w:p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Calibri" w:cs="Times New Roman"/>
          <w:bCs/>
          <w:sz w:val="24"/>
          <w:szCs w:val="24"/>
          <w:lang w:eastAsia="uk-UA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336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51006</wp:posOffset>
                </wp:positionV>
                <wp:extent cx="2114550" cy="2888892"/>
                <wp:effectExtent l="0" t="0" r="0" b="6985"/>
                <wp:wrapNone/>
                <wp:docPr id="8" name="Рисунок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7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9"/>
                        <a:srcRect l="21753" t="14908" r="34120" b="6921"/>
                        <a:stretch/>
                      </pic:blipFill>
                      <pic:spPr bwMode="auto">
                        <a:xfrm>
                          <a:off x="0" y="0"/>
                          <a:ext cx="2114550" cy="288889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position:absolute;z-index:251663360;o:allowoverlap:true;o:allowincell:true;mso-position-horizontal-relative:margin;mso-position-horizontal:left;mso-position-vertical-relative:text;margin-top:4.0pt;mso-position-vertical:absolute;width:166.5pt;height:227.5pt;mso-wrap-distance-left:9.0pt;mso-wrap-distance-top:0.0pt;mso-wrap-distance-right:9.0pt;mso-wrap-distance-bottom:0.0pt;" stroked="f">
                <v:path textboxrect="0,0,0,0"/>
                <v:imagedata r:id="rId19" o:title=""/>
              </v:shape>
            </w:pict>
          </mc:Fallback>
        </mc:AlternateContent>
      </w:r>
      <w:r/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hd w:val="clear" w:color="auto" w:fill="ffffff"/>
        <w:rPr>
          <w:rFonts w:ascii="Times New Roman" w:hAnsi="Times New Roman" w:eastAsia="Calibri" w:cs="Times New Roman"/>
          <w:b/>
          <w:sz w:val="24"/>
          <w:szCs w:val="24"/>
        </w:rPr>
      </w:pPr>
      <w:r>
        <w:rPr>
          <w:rFonts w:ascii="Times New Roman" w:hAnsi="Times New Roman" w:eastAsia="Calibri" w:cs="Times New Roman"/>
          <w:b/>
          <w:sz w:val="24"/>
          <w:szCs w:val="24"/>
        </w:rPr>
      </w:r>
      <w:r/>
    </w:p>
    <w:p>
      <w:pPr>
        <w:pStyle w:val="712"/>
        <w:numPr>
          <w:ilvl w:val="0"/>
          <w:numId w:val="32"/>
        </w:numPr>
        <w:jc w:val="center"/>
        <w:spacing w:after="0" w:line="240" w:lineRule="auto"/>
        <w:shd w:val="clear" w:color="auto" w:fill="ffffff"/>
        <w:rPr>
          <w:rFonts w:ascii="Times New Roman" w:hAnsi="Times New Roman" w:cs="Times New Roman"/>
          <w:b/>
          <w:smallCaps/>
          <w:color w:val="00000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mallCaps/>
          <w:color w:val="000000"/>
          <w:sz w:val="24"/>
          <w:szCs w:val="24"/>
          <w:u w:val="single"/>
        </w:rPr>
        <w:t xml:space="preserve">Комплект меблів І поверх оперативний зал</w:t>
      </w:r>
      <w:r/>
    </w:p>
    <w:p>
      <w:pPr>
        <w:pStyle w:val="712"/>
        <w:spacing w:after="0" w:line="240" w:lineRule="auto"/>
        <w:shd w:val="clear" w:color="auto" w:fill="ffffff"/>
        <w:rPr>
          <w:rFonts w:ascii="Times New Roman" w:hAnsi="Times New Roman" w:cs="Times New Roman"/>
          <w:b/>
          <w:smallCaps/>
          <w:color w:val="00000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mallCaps/>
          <w:color w:val="000000"/>
          <w:sz w:val="24"/>
          <w:szCs w:val="24"/>
          <w:u w:val="single"/>
        </w:rPr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Calibri" w:cs="Times New Roman"/>
          <w:b/>
          <w:sz w:val="24"/>
          <w:szCs w:val="24"/>
        </w:rPr>
      </w:pPr>
      <w:r>
        <w:rPr>
          <w:rFonts w:ascii="Times New Roman" w:hAnsi="Times New Roman" w:eastAsia="Calibri" w:cs="Times New Roman"/>
          <w:b/>
          <w:sz w:val="24"/>
          <w:szCs w:val="24"/>
        </w:rPr>
        <w:t xml:space="preserve">Робоча станція на одну особу з офісною мобільною тумбою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Кількість – 6 шт.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Ширина – 1400 мм.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Глибина – 850 мм.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Висота – 750 мм. 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Матеріал: ДСП лам. Kronospan 0191 SU Холодний сірий 18мм </w:t>
      </w:r>
      <w:r/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Calibri" w:cs="Times New Roman"/>
          <w:bCs/>
          <w:sz w:val="24"/>
          <w:szCs w:val="24"/>
          <w:lang w:eastAsia="uk-UA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266440" cy="2530899"/>
                <wp:effectExtent l="0" t="0" r="0" b="3175"/>
                <wp:docPr id="9" name="Рисунок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10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0"/>
                        <a:srcRect l="8980" t="12278" r="24792" b="12165"/>
                        <a:stretch/>
                      </pic:blipFill>
                      <pic:spPr bwMode="auto">
                        <a:xfrm>
                          <a:off x="0" y="0"/>
                          <a:ext cx="3356477" cy="260066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width:257.2pt;height:199.3pt;mso-wrap-distance-left:0.0pt;mso-wrap-distance-top:0.0pt;mso-wrap-distance-right:0.0pt;mso-wrap-distance-bottom:0.0pt;" stroked="f">
                <v:path textboxrect="0,0,0,0"/>
                <v:imagedata r:id="rId20" o:title=""/>
              </v:shape>
            </w:pict>
          </mc:Fallback>
        </mc:AlternateConten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Кількість – 6 шт.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Ширина – 450 мм.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Глибина – 500 мм.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Висота – 700 мм. 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Матеріал: ДСП лам. Kronospan 0191 SU Холодний сірий  2800х2070х18мм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Оброблення фасадів: ДСП лам. Swiss Krono 4435 VL Голубий Димчастий NEW 2800х2070х18 мм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Ручка HEXI чорна L=192 мм - 20 м – 4 шт. </w:t>
      </w:r>
      <w:r>
        <w:rPr>
          <w:rFonts w:ascii="Times New Roman" w:hAnsi="Times New Roman" w:cs="Times New Roman"/>
          <w:sz w:val="24"/>
          <w:szCs w:val="24"/>
        </w:rPr>
        <w:br/>
        <w:t xml:space="preserve">Напрямні роликові – 4 шт.</w:t>
      </w:r>
      <w:r/>
    </w:p>
    <w:p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Calibri" w:cs="Times New Roman"/>
          <w:bCs/>
          <w:sz w:val="24"/>
          <w:szCs w:val="24"/>
          <w:lang w:eastAsia="uk-UA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428875" cy="2809875"/>
                <wp:effectExtent l="0" t="0" r="9525" b="9525"/>
                <wp:docPr id="10" name="Рисунок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" name="9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1"/>
                        <a:srcRect l="22771" t="25971" r="36337" b="9646"/>
                        <a:stretch/>
                      </pic:blipFill>
                      <pic:spPr bwMode="auto">
                        <a:xfrm>
                          <a:off x="0" y="0"/>
                          <a:ext cx="2428875" cy="28098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width:191.2pt;height:221.2pt;mso-wrap-distance-left:0.0pt;mso-wrap-distance-top:0.0pt;mso-wrap-distance-right:0.0pt;mso-wrap-distance-bottom:0.0pt;" stroked="f">
                <v:path textboxrect="0,0,0,0"/>
                <v:imagedata r:id="rId21" o:title=""/>
              </v:shape>
            </w:pict>
          </mc:Fallback>
        </mc:AlternateConten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Calibri" w:cs="Times New Roman"/>
          <w:b/>
          <w:sz w:val="24"/>
          <w:szCs w:val="24"/>
        </w:rPr>
      </w:pPr>
      <w:r>
        <w:rPr>
          <w:rFonts w:ascii="Times New Roman" w:hAnsi="Times New Roman" w:eastAsia="Calibri" w:cs="Times New Roman"/>
          <w:b/>
          <w:sz w:val="24"/>
          <w:szCs w:val="24"/>
        </w:rPr>
        <w:t xml:space="preserve">Офісна тумба з двома дверцятами 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Кількість – 1 шт.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Ширина – 800 мм.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Глибина – 450 мм.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Висота – 800 мм. 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Матеріал: ДСП лам. Kronospan 0191 SU Холодний сірий  2800х2070х18мм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Оброблення фасадів: ДСП лам. Swiss Krono 4435 VL Голубий Димчастий NEW 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Ручка HEXI чорна L=192 мм - 20 м – 2 шт. </w:t>
      </w:r>
      <w:r/>
    </w:p>
    <w:p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Calibri" w:cs="Times New Roman"/>
          <w:bCs/>
          <w:sz w:val="24"/>
          <w:szCs w:val="24"/>
          <w:lang w:eastAsia="uk-UA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816772" cy="2843346"/>
                <wp:effectExtent l="0" t="0" r="3175" b="0"/>
                <wp:docPr id="11" name="Рисунок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11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2"/>
                        <a:srcRect l="21809" t="22036" r="27195" b="7926"/>
                        <a:stretch/>
                      </pic:blipFill>
                      <pic:spPr bwMode="auto">
                        <a:xfrm>
                          <a:off x="0" y="0"/>
                          <a:ext cx="2828481" cy="285516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width:221.8pt;height:223.9pt;mso-wrap-distance-left:0.0pt;mso-wrap-distance-top:0.0pt;mso-wrap-distance-right:0.0pt;mso-wrap-distance-bottom:0.0pt;" stroked="f">
                <v:path textboxrect="0,0,0,0"/>
                <v:imagedata r:id="rId22" o:title=""/>
              </v:shape>
            </w:pict>
          </mc:Fallback>
        </mc:AlternateContent>
      </w:r>
      <w:r/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eastAsia="Calibri" w:cs="Times New Roman"/>
          <w:b/>
          <w:sz w:val="24"/>
          <w:szCs w:val="24"/>
        </w:rPr>
        <w:t xml:space="preserve">Стелаж-шафа з відкритими полицями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Кількість – 1 шт.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Ширина – 1600 мм.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Глибина – 450 мм.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Висота – 2100 мм. 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Матеріал: ДСП лам. Kronospan 0191 SU Холодний сірий  2800х2070х18мм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Оброблення фасадів: ДСП лам. Swiss Krono 4435 VL Голубий Димчастий NEW 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Ручка HEXI чорна L=192 мм - 20 м – 4 шт. </w:t>
      </w:r>
      <w:r>
        <w:rPr>
          <w:rFonts w:ascii="Times New Roman" w:hAnsi="Times New Roman" w:cs="Times New Roman"/>
          <w:sz w:val="24"/>
          <w:szCs w:val="24"/>
        </w:rPr>
        <w:br/>
        <w:t xml:space="preserve">Петлі з доводчкиками – 8 шт.</w:t>
      </w:r>
      <w:r/>
    </w:p>
    <w:p>
      <w:pPr>
        <w:shd w:val="clear" w:color="auto" w:fill="ffffff"/>
        <w:rPr>
          <w:rFonts w:ascii="Times New Roman" w:hAnsi="Times New Roman" w:eastAsia="Calibri" w:cs="Times New Roman"/>
          <w:b/>
          <w:sz w:val="24"/>
          <w:szCs w:val="24"/>
        </w:rPr>
      </w:pPr>
      <w:r>
        <w:rPr>
          <w:rFonts w:ascii="Times New Roman" w:hAnsi="Times New Roman" w:eastAsia="Calibri" w:cs="Times New Roman"/>
          <w:b/>
          <w:sz w:val="24"/>
          <w:szCs w:val="24"/>
        </w:rPr>
      </w:r>
      <w:r/>
    </w:p>
    <w:p>
      <w:pPr>
        <w:ind w:firstLine="263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eastAsia="Calibri" w:cs="Times New Roman"/>
          <w:bCs/>
          <w:sz w:val="24"/>
          <w:szCs w:val="24"/>
          <w:lang w:eastAsia="uk-UA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616835" cy="2942896"/>
                <wp:effectExtent l="0" t="0" r="0" b="0"/>
                <wp:docPr id="12" name="Рисунок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" name="12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3"/>
                        <a:srcRect l="15876" t="7524" r="19179" b="4299"/>
                        <a:stretch/>
                      </pic:blipFill>
                      <pic:spPr bwMode="auto">
                        <a:xfrm>
                          <a:off x="0" y="0"/>
                          <a:ext cx="2664793" cy="29968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width:206.0pt;height:231.7pt;mso-wrap-distance-left:0.0pt;mso-wrap-distance-top:0.0pt;mso-wrap-distance-right:0.0pt;mso-wrap-distance-bottom:0.0pt;" stroked="f">
                <v:path textboxrect="0,0,0,0"/>
                <v:imagedata r:id="rId23" o:title=""/>
              </v:shape>
            </w:pict>
          </mc:Fallback>
        </mc:AlternateContent>
      </w:r>
      <w:r/>
    </w:p>
    <w:p>
      <w:pPr>
        <w:pStyle w:val="712"/>
        <w:numPr>
          <w:ilvl w:val="0"/>
          <w:numId w:val="32"/>
        </w:numPr>
        <w:jc w:val="center"/>
        <w:spacing w:after="0" w:line="240" w:lineRule="auto"/>
        <w:shd w:val="clear" w:color="auto" w:fill="ffffff"/>
        <w:widowControl w:val="off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КОМПЛЕКТ РОБОЧИХ СТАНЦІЙ НА ОДНУ ОСОБУ</w:t>
      </w:r>
      <w:r/>
    </w:p>
    <w:p>
      <w:pPr>
        <w:shd w:val="clear" w:color="auto" w:fill="ffffff"/>
        <w:rPr>
          <w:rFonts w:ascii="Times New Roman" w:hAnsi="Times New Roman" w:eastAsia="Calibri" w:cs="Times New Roman"/>
          <w:b/>
          <w:sz w:val="24"/>
          <w:szCs w:val="24"/>
        </w:rPr>
      </w:pPr>
      <w:r>
        <w:rPr>
          <w:rFonts w:ascii="Times New Roman" w:hAnsi="Times New Roman" w:eastAsia="Calibri" w:cs="Times New Roman"/>
          <w:b/>
          <w:sz w:val="24"/>
          <w:szCs w:val="24"/>
        </w:rPr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Calibri" w:cs="Times New Roman"/>
          <w:b/>
          <w:sz w:val="24"/>
          <w:szCs w:val="24"/>
        </w:rPr>
      </w:pPr>
      <w:r>
        <w:rPr>
          <w:rFonts w:ascii="Times New Roman" w:hAnsi="Times New Roman" w:eastAsia="Calibri" w:cs="Times New Roman"/>
          <w:b/>
          <w:sz w:val="24"/>
          <w:szCs w:val="24"/>
        </w:rPr>
        <w:t xml:space="preserve">Робоча станція трансформер на одну особу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Кількість – 3 шт.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Ширина – 1200 мм.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Глибина – 600 мм.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Висота – 750 мм. 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Матеріал: ДСП лам. Kronospan 0191 SU Холодний сірий 2800х2070х18мм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Ніжки – Сталь. 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Регульована стільниця по висоті </w:t>
      </w:r>
      <w:r/>
    </w:p>
    <w:p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/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uk-UA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4384" behindDoc="0" locked="0" layoutInCell="1" allowOverlap="1">
                <wp:simplePos x="0" y="0"/>
                <wp:positionH relativeFrom="margin">
                  <wp:posOffset>-42545</wp:posOffset>
                </wp:positionH>
                <wp:positionV relativeFrom="paragraph">
                  <wp:posOffset>88900</wp:posOffset>
                </wp:positionV>
                <wp:extent cx="3590925" cy="1871345"/>
                <wp:effectExtent l="0" t="0" r="9525" b="0"/>
                <wp:wrapNone/>
                <wp:docPr id="13" name="Рисунок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4"/>
                        <a:stretch/>
                      </pic:blipFill>
                      <pic:spPr bwMode="auto">
                        <a:xfrm>
                          <a:off x="0" y="0"/>
                          <a:ext cx="3590925" cy="18713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" o:spid="_x0000_s12" type="#_x0000_t75" style="position:absolute;z-index:251664384;o:allowoverlap:true;o:allowincell:true;mso-position-horizontal-relative:margin;margin-left:-3.3pt;mso-position-horizontal:absolute;mso-position-vertical-relative:text;margin-top:7.0pt;mso-position-vertical:absolute;width:282.8pt;height:147.3pt;mso-wrap-distance-left:9.0pt;mso-wrap-distance-top:0.0pt;mso-wrap-distance-right:9.0pt;mso-wrap-distance-bottom:0.0pt;" stroked="false">
                <v:path textboxrect="0,0,0,0"/>
                <v:imagedata r:id="rId24" o:title=""/>
              </v:shape>
            </w:pict>
          </mc:Fallback>
        </mc:AlternateContent>
      </w:r>
      <w:r/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ind w:firstLine="263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У разі, якщо у цій тендерній документації (у тому числі у технічній специфікації) міститься посилання:</w:t>
      </w:r>
      <w:r/>
    </w:p>
    <w:p>
      <w:pPr>
        <w:ind w:firstLine="263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- на стандартні характеристики, технічні регламенти та умови, вимоги, умовні позначення та термінологію, пов’язані з товарами, роботами чи послугами, що закуповуються, передбачені існуючими міжнародними, європейським</w:t>
      </w:r>
      <w:r>
        <w:rPr>
          <w:rFonts w:ascii="Times New Roman" w:hAnsi="Times New Roman" w:cs="Times New Roman"/>
          <w:i/>
          <w:sz w:val="24"/>
          <w:szCs w:val="24"/>
        </w:rPr>
        <w:t xml:space="preserve">и стандартами, іншими спільними технічними європейськими нормами, іншими технічними еталонними системами, визнаними європейськими органами зі стандартизації або національними стандартами, нормами та правилами – вважати, що міститься вираз «або еквівалент»;</w:t>
      </w:r>
      <w:r/>
    </w:p>
    <w:p>
      <w:p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- на ко</w:t>
      </w:r>
      <w:r>
        <w:rPr>
          <w:rFonts w:ascii="Times New Roman" w:hAnsi="Times New Roman" w:cs="Times New Roman"/>
          <w:i/>
          <w:sz w:val="24"/>
          <w:szCs w:val="24"/>
        </w:rPr>
        <w:t xml:space="preserve">нкретні марку чи виробника або на конкретний процес, що характеризує продукт чи послугу певного суб’єкта господарювання, чи на торгові марки, патенти, типи або конкретне місце походження чи спосіб виробництва – вважати, що міститься вираз «або еквівалент».</w:t>
      </w:r>
      <w:r/>
    </w:p>
    <w:p>
      <w:pPr>
        <w:ind w:firstLine="567"/>
        <w:jc w:val="both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У випадку надання учасником еквіваленту він має надати порівняльну таблицю запропонованих товарів з товарами, які вимагаються Замовником. Якщо Учасник пропонує товар, технічні характеристики якого відрізняються від наведених вище, він повинен </w:t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обов’язково надати порівняльну таблицю щодо відповідності технічних характеристик запропонованого товару наведеним Замовником характеристикам. Товар має бути з технічними та якісними характеристиками рівноцінними, або покращеними, ніж визначені Замовником.</w:t>
      </w:r>
      <w:r/>
    </w:p>
    <w:p>
      <w:pPr>
        <w:ind w:right="-1"/>
        <w:jc w:val="both"/>
        <w:spacing w:after="0" w:line="240" w:lineRule="auto"/>
        <w:widowControl w:val="o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  <w:t xml:space="preserve">5. Обґрунтування розміру бюджетного призначення: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 розмір бюджетного призначення визначено Законом України «Про Державний 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бюджет України на 2023 рік» за КПКВК 1001050 «Реалізація державної політики у сфері внутрішніх справ, забезпечення виконання завдань і функцій органів, установ та закладів Міністерства внутрішніх справ України» відповідно до бюджетного запиту на 2023 рік. </w:t>
      </w:r>
      <w:r/>
    </w:p>
    <w:p>
      <w:pPr>
        <w:ind w:right="-1"/>
        <w:jc w:val="both"/>
        <w:spacing w:after="0" w:line="240" w:lineRule="auto"/>
        <w:widowControl w:val="o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</w:r>
      <w:r/>
    </w:p>
    <w:p>
      <w:pPr>
        <w:ind w:right="-1"/>
        <w:jc w:val="both"/>
        <w:spacing w:after="0" w:line="240" w:lineRule="auto"/>
        <w:widowControl w:val="o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  <w:t xml:space="preserve">6. Очікувана вартість предмета закупівлі: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313 310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,00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 грн. (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триста тринадцять тисяч триста десять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грив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е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н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ь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00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 коп.) з ПДВ. </w:t>
      </w:r>
      <w:r/>
    </w:p>
    <w:p>
      <w:pPr>
        <w:ind w:right="-1"/>
        <w:jc w:val="both"/>
        <w:spacing w:after="0" w:line="240" w:lineRule="auto"/>
        <w:widowControl w:val="o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</w:r>
      <w:r/>
    </w:p>
    <w:p>
      <w:pPr>
        <w:ind w:right="-1"/>
        <w:jc w:val="both"/>
        <w:spacing w:after="0" w:line="240" w:lineRule="auto"/>
        <w:widowControl w:val="off"/>
        <w:rPr>
          <w:rFonts w:ascii="Times New Roman" w:hAnsi="Times New Roman" w:eastAsia="Times New Roman" w:cs="Times New Roman"/>
          <w:sz w:val="24"/>
          <w:szCs w:val="24"/>
          <w:vertAlign w:val="superscript"/>
          <w:lang w:eastAsia="ru-RU"/>
        </w:rPr>
      </w:pPr>
      <w:r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  <w:t xml:space="preserve">7. Обґрунтування </w:t>
      </w:r>
      <w:r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  <w:t xml:space="preserve">очікуваної вартості предмета закупівлі: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Очікувана вартість визначена відповідно до частини 1 та 2 пункту 1 Розділу ІІІ «Методи визначення очікуваної вартості» Примірної методики визначення очікуваної вартості предмета закупівлі затвердженої Наказом 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Міністерства розвитку економіки, торгівлі та сільського господарства України 18.02.2020 № 275 та розрахована, як середньоарифметичне значення масиву отриманих даних, що розраховується за такою формулою: Цод = (Ц1 +… + Цк) / К.</w:t>
      </w:r>
      <w:r/>
    </w:p>
    <w:p>
      <w:pPr>
        <w:ind w:right="-1"/>
        <w:jc w:val="both"/>
        <w:spacing w:after="0" w:line="240" w:lineRule="auto"/>
        <w:widowControl w:val="off"/>
        <w:rPr>
          <w:rFonts w:ascii="Times New Roman" w:hAnsi="Times New Roman" w:eastAsia="Times New Roman" w:cs="Times New Roman"/>
          <w:sz w:val="24"/>
          <w:szCs w:val="24"/>
          <w:vertAlign w:val="superscript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vertAlign w:val="superscript"/>
          <w:lang w:eastAsia="ru-RU"/>
        </w:rPr>
      </w:r>
      <w:r/>
    </w:p>
    <w:p>
      <w:pPr>
        <w:ind w:right="-1"/>
        <w:jc w:val="both"/>
        <w:spacing w:after="0" w:line="240" w:lineRule="auto"/>
        <w:widowControl w:val="o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</w:r>
      <w:r/>
    </w:p>
    <w:p>
      <w:pPr>
        <w:ind w:right="-1"/>
        <w:jc w:val="both"/>
        <w:spacing w:after="0" w:line="240" w:lineRule="auto"/>
        <w:widowControl w:val="o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  <w:t xml:space="preserve">8. Процедура закупівлі: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 Застосовується процедура відкритих торгів з особливостями.</w:t>
      </w:r>
      <w:r/>
    </w:p>
    <w:p>
      <w:pPr>
        <w:ind w:right="-1"/>
        <w:jc w:val="both"/>
        <w:spacing w:after="0" w:line="240" w:lineRule="auto"/>
        <w:widowControl w:val="o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</w:r>
      <w:r/>
    </w:p>
    <w:sectPr>
      <w:footerReference w:type="default" r:id="rId9"/>
      <w:footnotePr/>
      <w:endnotePr/>
      <w:type w:val="nextPage"/>
      <w:pgSz w:w="11906" w:h="16838" w:orient="portrait"/>
      <w:pgMar w:top="709" w:right="851" w:bottom="851" w:left="1418" w:header="709" w:footer="709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10000000000000000"/>
  </w:font>
  <w:font w:name="Courier New">
    <w:panose1 w:val="02070309020205020404"/>
  </w:font>
  <w:font w:name="Symbol">
    <w:panose1 w:val="05010000000000000000"/>
  </w:font>
  <w:font w:name="Times New Roman1">
    <w:panose1 w:val="02020603050405020304"/>
  </w:font>
  <w:font w:name="Segoe UI">
    <w:panose1 w:val="020B0502040504020204"/>
  </w:font>
  <w:font w:name="Tms Rmn">
    <w:panose1 w:val="020B0603030804020204"/>
  </w:font>
  <w:font w:name="Calibri">
    <w:panose1 w:val="020F0502020204030204"/>
  </w:font>
  <w:font w:name="Times New Roman">
    <w:panose1 w:val="02020603050405020304"/>
  </w:font>
  <w:font w:name="Arial">
    <w:panose1 w:val="020B0604020202020204"/>
  </w:font>
  <w:font w:name="Cambria">
    <w:panose1 w:val="020206030504050203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718"/>
      <w:rPr>
        <w:sz w:val="8"/>
      </w:rPr>
    </w:pPr>
    <w:r>
      <w:rPr>
        <w:sz w:val="8"/>
      </w:rPr>
    </w:r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927" w:hanging="360"/>
      </w:pPr>
      <w:rPr>
        <w:rFonts w:hint="default"/>
        <w:b/>
      </w:rPr>
    </w:lvl>
    <w:lvl w:ilvl="1">
      <w:start w:val="1"/>
      <w:numFmt w:val="lowerLetter"/>
      <w:isLgl w:val="false"/>
      <w:suff w:val="tab"/>
      <w:lvlText w:val="%2."/>
      <w:lvlJc w:val="left"/>
      <w:pPr>
        <w:ind w:left="1647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367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087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807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527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247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967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687" w:hanging="180"/>
      </w:pPr>
    </w:lvl>
  </w:abstractNum>
  <w:abstractNum w:abstractNumId="3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  <w:rPr>
        <w:rFonts w:hint="default"/>
        <w:u w:val="none"/>
      </w:rPr>
    </w:lvl>
    <w:lvl w:ilvl="1">
      <w:start w:val="1"/>
      <w:numFmt w:val="decimal"/>
      <w:isLgl w:val="false"/>
      <w:suff w:val="space"/>
      <w:lvlText w:val="%1.%2."/>
      <w:lvlJc w:val="left"/>
      <w:pPr>
        <w:ind w:left="360" w:hanging="360"/>
      </w:pPr>
      <w:rPr>
        <w:rFonts w:hint="default"/>
        <w:u w:val="none"/>
      </w:rPr>
    </w:lvl>
    <w:lvl w:ilvl="2">
      <w:start w:val="1"/>
      <w:numFmt w:val="decimal"/>
      <w:isLgl w:val="false"/>
      <w:suff w:val="space"/>
      <w:lvlText w:val="%1.%2.%3."/>
      <w:lvlJc w:val="left"/>
      <w:pPr>
        <w:ind w:left="720" w:hanging="720"/>
      </w:pPr>
      <w:rPr>
        <w:rFonts w:hint="default"/>
        <w:u w:val="none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720" w:hanging="720"/>
      </w:pPr>
      <w:rPr>
        <w:rFonts w:hint="default"/>
        <w:u w:val="none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1080" w:hanging="1080"/>
      </w:pPr>
      <w:rPr>
        <w:rFonts w:hint="default"/>
        <w:u w:val="none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1080" w:hanging="1080"/>
      </w:pPr>
      <w:rPr>
        <w:rFonts w:hint="default"/>
        <w:u w:val="none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1080" w:hanging="1080"/>
      </w:pPr>
      <w:rPr>
        <w:rFonts w:hint="default"/>
        <w:u w:val="none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1440" w:hanging="1440"/>
      </w:pPr>
      <w:rPr>
        <w:rFonts w:hint="default"/>
        <w:u w:val="none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1440" w:hanging="1440"/>
      </w:pPr>
      <w:rPr>
        <w:rFonts w:hint="default"/>
        <w:u w:val="none"/>
      </w:rPr>
    </w:lvl>
  </w:abstractNum>
  <w:abstractNum w:abstractNumId="6">
    <w:multiLevelType w:val="hybridMultilevel"/>
    <w:lvl w:ilvl="0">
      <w:start w:val="1"/>
      <w:numFmt w:val="decimal"/>
      <w:isLgl w:val="false"/>
      <w:suff w:val="space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218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938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1658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378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098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3818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4538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258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5978" w:hanging="180"/>
      </w:pPr>
    </w:lvl>
  </w:abstractNum>
  <w:abstractNum w:abstractNumId="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85" w:hanging="375"/>
        <w:tabs>
          <w:tab w:val="num" w:pos="0" w:leader="none"/>
        </w:tabs>
      </w:pPr>
      <w:rPr>
        <w:rFonts w:cs="Times New Roman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  <w:tabs>
          <w:tab w:val="num" w:pos="0" w:leader="none"/>
        </w:tabs>
      </w:pPr>
      <w:rPr>
        <w:rFonts w:cs="Times New Roman"/>
      </w:r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  <w:tabs>
          <w:tab w:val="num" w:pos="0" w:leader="none"/>
        </w:tabs>
      </w:pPr>
      <w:rPr>
        <w:rFonts w:cs="Times New Roman"/>
      </w:r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  <w:tabs>
          <w:tab w:val="num" w:pos="0" w:leader="none"/>
        </w:tabs>
      </w:pPr>
      <w:rPr>
        <w:rFonts w:cs="Times New Roman"/>
      </w:r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  <w:tabs>
          <w:tab w:val="num" w:pos="0" w:leader="none"/>
        </w:tabs>
      </w:pPr>
      <w:rPr>
        <w:rFonts w:cs="Times New Roman"/>
      </w:r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  <w:tabs>
          <w:tab w:val="num" w:pos="0" w:leader="none"/>
        </w:tabs>
      </w:pPr>
      <w:rPr>
        <w:rFonts w:cs="Times New Roman"/>
      </w:r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  <w:tabs>
          <w:tab w:val="num" w:pos="0" w:leader="none"/>
        </w:tabs>
      </w:pPr>
      <w:rPr>
        <w:rFonts w:cs="Times New Roman"/>
      </w:r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  <w:tabs>
          <w:tab w:val="num" w:pos="0" w:leader="none"/>
        </w:tabs>
      </w:pPr>
      <w:rPr>
        <w:rFonts w:cs="Times New Roman"/>
      </w:r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  <w:tabs>
          <w:tab w:val="num" w:pos="0" w:leader="none"/>
        </w:tabs>
      </w:pPr>
      <w:rPr>
        <w:rFonts w:cs="Times New Roman"/>
      </w:rPr>
    </w:lvl>
  </w:abstractNum>
  <w:abstractNum w:abstractNumId="9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isLgl w:val="false"/>
      <w:suff w:val="space"/>
      <w:lvlText w:val="%1.%2"/>
      <w:lvlJc w:val="left"/>
      <w:pPr>
        <w:ind w:left="705" w:hanging="360"/>
      </w:pPr>
      <w:rPr>
        <w:rFonts w:hint="default"/>
      </w:rPr>
    </w:lvl>
    <w:lvl w:ilvl="2">
      <w:start w:val="1"/>
      <w:numFmt w:val="decimal"/>
      <w:isLgl w:val="false"/>
      <w:suff w:val="tab"/>
      <w:lvlText w:val="%1.%2.%3"/>
      <w:lvlJc w:val="left"/>
      <w:pPr>
        <w:ind w:left="1410" w:hanging="720"/>
      </w:pPr>
      <w:rPr>
        <w:rFonts w:hint="default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755" w:hanging="720"/>
      </w:pPr>
      <w:rPr>
        <w:rFonts w:hint="default"/>
      </w:rPr>
    </w:lvl>
    <w:lvl w:ilvl="4">
      <w:start w:val="1"/>
      <w:numFmt w:val="decimal"/>
      <w:isLgl w:val="false"/>
      <w:suff w:val="tab"/>
      <w:lvlText w:val="%1.%2.%3.%4.%5"/>
      <w:lvlJc w:val="left"/>
      <w:pPr>
        <w:ind w:left="2100" w:hanging="720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"/>
      <w:lvlJc w:val="left"/>
      <w:pPr>
        <w:ind w:left="2805" w:hanging="1080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"/>
      <w:lvlJc w:val="left"/>
      <w:pPr>
        <w:ind w:left="3150" w:hanging="108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"/>
      <w:lvlJc w:val="left"/>
      <w:pPr>
        <w:ind w:left="3855" w:hanging="1440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"/>
      <w:lvlJc w:val="left"/>
      <w:pPr>
        <w:ind w:left="4200" w:hanging="1440"/>
      </w:pPr>
      <w:rPr>
        <w:rFonts w:hint="default"/>
      </w:rPr>
    </w:lvl>
  </w:abstractNum>
  <w:abstractNum w:abstractNumId="10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287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007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727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447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167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887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607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327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047" w:hanging="360"/>
      </w:pPr>
      <w:rPr>
        <w:rFonts w:hint="default" w:ascii="Wingdings" w:hAnsi="Wingdings"/>
      </w:rPr>
    </w:lvl>
  </w:abstractNum>
  <w:abstractNum w:abstractNumId="11">
    <w:multiLevelType w:val="hybridMultilevel"/>
    <w:lvl w:ilvl="0">
      <w:start w:val="900"/>
      <w:numFmt w:val="bullet"/>
      <w:isLgl w:val="false"/>
      <w:suff w:val="tab"/>
      <w:lvlText w:val="-"/>
      <w:lvlJc w:val="left"/>
      <w:pPr>
        <w:ind w:left="644" w:hanging="360"/>
      </w:pPr>
      <w:rPr>
        <w:rFonts w:hint="default" w:ascii="Times New Roman" w:hAnsi="Times New Roman" w:eastAsia="Times New Roman"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1364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084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04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24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244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4964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684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04" w:hanging="360"/>
      </w:pPr>
      <w:rPr>
        <w:rFonts w:hint="default" w:ascii="Wingdings" w:hAnsi="Wingdings"/>
      </w:rPr>
    </w:lvl>
  </w:abstractNum>
  <w:abstractNum w:abstractNumId="1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4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6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651" w:hanging="375"/>
        <w:tabs>
          <w:tab w:val="num" w:pos="566" w:leader="none"/>
        </w:tabs>
      </w:pPr>
      <w:rPr>
        <w:rFonts w:cs="Times New Roman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  <w:tabs>
          <w:tab w:val="num" w:pos="0" w:leader="none"/>
        </w:tabs>
      </w:pPr>
      <w:rPr>
        <w:rFonts w:cs="Times New Roman"/>
      </w:r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  <w:tabs>
          <w:tab w:val="num" w:pos="0" w:leader="none"/>
        </w:tabs>
      </w:pPr>
      <w:rPr>
        <w:rFonts w:cs="Times New Roman"/>
      </w:r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  <w:tabs>
          <w:tab w:val="num" w:pos="0" w:leader="none"/>
        </w:tabs>
      </w:pPr>
      <w:rPr>
        <w:rFonts w:cs="Times New Roman"/>
      </w:r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  <w:tabs>
          <w:tab w:val="num" w:pos="0" w:leader="none"/>
        </w:tabs>
      </w:pPr>
      <w:rPr>
        <w:rFonts w:cs="Times New Roman"/>
      </w:r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  <w:tabs>
          <w:tab w:val="num" w:pos="0" w:leader="none"/>
        </w:tabs>
      </w:pPr>
      <w:rPr>
        <w:rFonts w:cs="Times New Roman"/>
      </w:r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  <w:tabs>
          <w:tab w:val="num" w:pos="0" w:leader="none"/>
        </w:tabs>
      </w:pPr>
      <w:rPr>
        <w:rFonts w:cs="Times New Roman"/>
      </w:r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  <w:tabs>
          <w:tab w:val="num" w:pos="0" w:leader="none"/>
        </w:tabs>
      </w:pPr>
      <w:rPr>
        <w:rFonts w:cs="Times New Roman"/>
      </w:r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  <w:tabs>
          <w:tab w:val="num" w:pos="0" w:leader="none"/>
        </w:tabs>
      </w:pPr>
      <w:rPr>
        <w:rFonts w:cs="Times New Roman"/>
      </w:rPr>
    </w:lvl>
  </w:abstractNum>
  <w:abstractNum w:abstractNumId="18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 w:ascii="Times New Roman" w:hAnsi="Times New Roman" w:cs="Times New Roman"/>
        <w:b/>
        <w:sz w:val="28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0">
    <w:multiLevelType w:val="hybridMultilevel"/>
    <w:lvl w:ilvl="0">
      <w:start w:val="1"/>
      <w:numFmt w:val="bullet"/>
      <w:isLgl w:val="false"/>
      <w:suff w:val="space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44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60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6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22">
    <w:multiLevelType w:val="hybridMultilevel"/>
    <w:lvl w:ilvl="0">
      <w:start w:val="1"/>
      <w:numFmt w:val="bullet"/>
      <w:isLgl w:val="false"/>
      <w:suff w:val="tab"/>
      <w:lvlText w:val="-"/>
      <w:lvlJc w:val="left"/>
      <w:pPr>
        <w:ind w:left="927" w:hanging="360"/>
      </w:pPr>
      <w:rPr>
        <w:rFonts w:hint="default" w:ascii="Calibri" w:hAnsi="Calibri" w:cs="Times New Roman" w:eastAsiaTheme="minorHAnsi"/>
      </w:rPr>
    </w:lvl>
    <w:lvl w:ilvl="1">
      <w:start w:val="1"/>
      <w:numFmt w:val="bullet"/>
      <w:isLgl w:val="false"/>
      <w:suff w:val="tab"/>
      <w:lvlText w:val="o"/>
      <w:lvlJc w:val="left"/>
      <w:pPr>
        <w:ind w:left="1647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367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087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807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527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247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967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687" w:hanging="360"/>
      </w:pPr>
      <w:rPr>
        <w:rFonts w:hint="default" w:ascii="Wingdings" w:hAnsi="Wingdings"/>
      </w:rPr>
    </w:lvl>
  </w:abstractNum>
  <w:abstractNum w:abstractNumId="23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5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6">
    <w:multiLevelType w:val="hybridMultilevel"/>
    <w:lvl w:ilvl="0">
      <w:start w:val="1"/>
      <w:numFmt w:val="decimal"/>
      <w:isLgl w:val="false"/>
      <w:suff w:val="space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7">
    <w:multiLevelType w:val="hybridMultilevel"/>
    <w:lvl w:ilvl="0">
      <w:start w:val="2"/>
      <w:numFmt w:val="decimal"/>
      <w:isLgl w:val="false"/>
      <w:suff w:val="tab"/>
      <w:lvlText w:val="%1."/>
      <w:lvlJc w:val="left"/>
      <w:pPr>
        <w:ind w:left="360" w:hanging="360"/>
      </w:pPr>
      <w:rPr>
        <w:rFonts w:hint="default"/>
        <w:u w:val="none"/>
      </w:rPr>
    </w:lvl>
    <w:lvl w:ilvl="1">
      <w:start w:val="1"/>
      <w:numFmt w:val="decimal"/>
      <w:isLgl w:val="false"/>
      <w:suff w:val="tab"/>
      <w:lvlText w:val="%1.%2."/>
      <w:lvlJc w:val="left"/>
      <w:pPr>
        <w:ind w:left="716" w:hanging="360"/>
      </w:pPr>
      <w:rPr>
        <w:rFonts w:hint="default"/>
        <w:u w:val="none"/>
      </w:rPr>
    </w:lvl>
    <w:lvl w:ilvl="2">
      <w:start w:val="1"/>
      <w:numFmt w:val="decimal"/>
      <w:isLgl w:val="false"/>
      <w:suff w:val="tab"/>
      <w:lvlText w:val="%1.%2.%3."/>
      <w:lvlJc w:val="left"/>
      <w:pPr>
        <w:ind w:left="1432" w:hanging="720"/>
      </w:pPr>
      <w:rPr>
        <w:rFonts w:hint="default"/>
        <w:u w:val="none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88" w:hanging="720"/>
      </w:pPr>
      <w:rPr>
        <w:rFonts w:hint="default"/>
        <w:u w:val="none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2504" w:hanging="1080"/>
      </w:pPr>
      <w:rPr>
        <w:rFonts w:hint="default"/>
        <w:u w:val="none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860" w:hanging="1080"/>
      </w:pPr>
      <w:rPr>
        <w:rFonts w:hint="default"/>
        <w:u w:val="none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3216" w:hanging="1080"/>
      </w:pPr>
      <w:rPr>
        <w:rFonts w:hint="default"/>
        <w:u w:val="none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932" w:hanging="1440"/>
      </w:pPr>
      <w:rPr>
        <w:rFonts w:hint="default"/>
        <w:u w:val="none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288" w:hanging="1440"/>
      </w:pPr>
      <w:rPr>
        <w:rFonts w:hint="default"/>
        <w:u w:val="none"/>
      </w:rPr>
    </w:lvl>
  </w:abstractNum>
  <w:abstractNum w:abstractNumId="2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9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405" w:hanging="405"/>
      </w:pPr>
      <w:rPr>
        <w:rFonts w:hint="default"/>
      </w:rPr>
    </w:lvl>
    <w:lvl w:ilvl="1">
      <w:start w:val="2"/>
      <w:numFmt w:val="decimal"/>
      <w:isLgl w:val="false"/>
      <w:suff w:val="tab"/>
      <w:lvlText w:val="%1.%2"/>
      <w:lvlJc w:val="left"/>
      <w:pPr>
        <w:ind w:left="583" w:hanging="405"/>
      </w:pPr>
      <w:rPr>
        <w:rFonts w:hint="default"/>
      </w:rPr>
    </w:lvl>
    <w:lvl w:ilvl="2">
      <w:start w:val="4"/>
      <w:numFmt w:val="decimal"/>
      <w:isLgl w:val="false"/>
      <w:suff w:val="space"/>
      <w:lvlText w:val="%1.%2.%3"/>
      <w:lvlJc w:val="left"/>
      <w:pPr>
        <w:ind w:left="1076" w:hanging="720"/>
      </w:pPr>
      <w:rPr>
        <w:rFonts w:hint="default"/>
        <w:i w:val="0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254" w:hanging="720"/>
      </w:pPr>
      <w:rPr>
        <w:rFonts w:hint="default"/>
      </w:rPr>
    </w:lvl>
    <w:lvl w:ilvl="4">
      <w:start w:val="1"/>
      <w:numFmt w:val="decimal"/>
      <w:isLgl w:val="false"/>
      <w:suff w:val="tab"/>
      <w:lvlText w:val="%1.%2.%3.%4.%5"/>
      <w:lvlJc w:val="left"/>
      <w:pPr>
        <w:ind w:left="1432" w:hanging="720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"/>
      <w:lvlJc w:val="left"/>
      <w:pPr>
        <w:ind w:left="1970" w:hanging="1080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"/>
      <w:lvlJc w:val="left"/>
      <w:pPr>
        <w:ind w:left="2148" w:hanging="108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"/>
      <w:lvlJc w:val="left"/>
      <w:pPr>
        <w:ind w:left="2686" w:hanging="1440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"/>
      <w:lvlJc w:val="left"/>
      <w:pPr>
        <w:ind w:left="2864" w:hanging="1440"/>
      </w:pPr>
      <w:rPr>
        <w:rFonts w:hint="default"/>
      </w:rPr>
    </w:lvl>
  </w:abstractNum>
  <w:abstractNum w:abstractNumId="30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44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60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6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num w:numId="1">
    <w:abstractNumId w:val="26"/>
  </w:num>
  <w:num w:numId="2">
    <w:abstractNumId w:val="14"/>
  </w:num>
  <w:num w:numId="3">
    <w:abstractNumId w:val="6"/>
  </w:num>
  <w:num w:numId="4">
    <w:abstractNumId w:val="20"/>
  </w:num>
  <w:num w:numId="5">
    <w:abstractNumId w:val="5"/>
  </w:num>
  <w:num w:numId="6">
    <w:abstractNumId w:val="27"/>
  </w:num>
  <w:num w:numId="7">
    <w:abstractNumId w:val="9"/>
  </w:num>
  <w:num w:numId="8">
    <w:abstractNumId w:val="29"/>
  </w:num>
  <w:num w:numId="9">
    <w:abstractNumId w:val="1"/>
  </w:num>
  <w:num w:numId="1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1"/>
  </w:num>
  <w:num w:numId="12">
    <w:abstractNumId w:val="7"/>
  </w:num>
  <w:num w:numId="13">
    <w:abstractNumId w:val="3"/>
  </w:num>
  <w:num w:numId="1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"/>
  </w:num>
  <w:num w:numId="16">
    <w:abstractNumId w:val="28"/>
  </w:num>
  <w:num w:numId="17">
    <w:abstractNumId w:val="0"/>
  </w:num>
  <w:num w:numId="18">
    <w:abstractNumId w:val="30"/>
  </w:num>
  <w:num w:numId="19">
    <w:abstractNumId w:val="21"/>
  </w:num>
  <w:num w:numId="20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0"/>
  </w:num>
  <w:num w:numId="24">
    <w:abstractNumId w:val="22"/>
  </w:num>
  <w:num w:numId="25">
    <w:abstractNumId w:val="15"/>
  </w:num>
  <w:num w:numId="26">
    <w:abstractNumId w:val="18"/>
  </w:num>
  <w:num w:numId="27">
    <w:abstractNumId w:val="23"/>
  </w:num>
  <w:num w:numId="28">
    <w:abstractNumId w:val="16"/>
  </w:num>
  <w:num w:numId="29">
    <w:abstractNumId w:val="25"/>
  </w:num>
  <w:num w:numId="30">
    <w:abstractNumId w:val="13"/>
  </w:num>
  <w:num w:numId="31">
    <w:abstractNumId w:val="2"/>
  </w:num>
  <w:num w:numId="32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160" w:afterAutospacing="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2">
    <w:name w:val="Heading 1"/>
    <w:basedOn w:val="707"/>
    <w:next w:val="707"/>
    <w:link w:val="13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13">
    <w:name w:val="Heading 1 Char"/>
    <w:basedOn w:val="709"/>
    <w:link w:val="12"/>
    <w:uiPriority w:val="9"/>
    <w:rPr>
      <w:rFonts w:ascii="Arial" w:hAnsi="Arial" w:eastAsia="Arial" w:cs="Arial"/>
      <w:sz w:val="40"/>
      <w:szCs w:val="40"/>
    </w:rPr>
  </w:style>
  <w:style w:type="character" w:styleId="15">
    <w:name w:val="Heading 2 Char"/>
    <w:basedOn w:val="709"/>
    <w:link w:val="708"/>
    <w:uiPriority w:val="9"/>
    <w:rPr>
      <w:rFonts w:ascii="Arial" w:hAnsi="Arial" w:eastAsia="Arial" w:cs="Arial"/>
      <w:sz w:val="34"/>
    </w:rPr>
  </w:style>
  <w:style w:type="paragraph" w:styleId="16">
    <w:name w:val="Heading 3"/>
    <w:basedOn w:val="707"/>
    <w:next w:val="707"/>
    <w:link w:val="17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17">
    <w:name w:val="Heading 3 Char"/>
    <w:basedOn w:val="709"/>
    <w:link w:val="16"/>
    <w:uiPriority w:val="9"/>
    <w:rPr>
      <w:rFonts w:ascii="Arial" w:hAnsi="Arial" w:eastAsia="Arial" w:cs="Arial"/>
      <w:sz w:val="30"/>
      <w:szCs w:val="30"/>
    </w:rPr>
  </w:style>
  <w:style w:type="paragraph" w:styleId="18">
    <w:name w:val="Heading 4"/>
    <w:basedOn w:val="707"/>
    <w:next w:val="707"/>
    <w:link w:val="19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19">
    <w:name w:val="Heading 4 Char"/>
    <w:basedOn w:val="709"/>
    <w:link w:val="18"/>
    <w:uiPriority w:val="9"/>
    <w:rPr>
      <w:rFonts w:ascii="Arial" w:hAnsi="Arial" w:eastAsia="Arial" w:cs="Arial"/>
      <w:b/>
      <w:bCs/>
      <w:sz w:val="26"/>
      <w:szCs w:val="26"/>
    </w:rPr>
  </w:style>
  <w:style w:type="paragraph" w:styleId="20">
    <w:name w:val="Heading 5"/>
    <w:basedOn w:val="707"/>
    <w:next w:val="707"/>
    <w:link w:val="21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1">
    <w:name w:val="Heading 5 Char"/>
    <w:basedOn w:val="709"/>
    <w:link w:val="20"/>
    <w:uiPriority w:val="9"/>
    <w:rPr>
      <w:rFonts w:ascii="Arial" w:hAnsi="Arial" w:eastAsia="Arial" w:cs="Arial"/>
      <w:b/>
      <w:bCs/>
      <w:sz w:val="24"/>
      <w:szCs w:val="24"/>
    </w:rPr>
  </w:style>
  <w:style w:type="paragraph" w:styleId="22">
    <w:name w:val="Heading 6"/>
    <w:basedOn w:val="707"/>
    <w:next w:val="707"/>
    <w:link w:val="23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3">
    <w:name w:val="Heading 6 Char"/>
    <w:basedOn w:val="709"/>
    <w:link w:val="22"/>
    <w:uiPriority w:val="9"/>
    <w:rPr>
      <w:rFonts w:ascii="Arial" w:hAnsi="Arial" w:eastAsia="Arial" w:cs="Arial"/>
      <w:b/>
      <w:bCs/>
      <w:sz w:val="22"/>
      <w:szCs w:val="22"/>
    </w:rPr>
  </w:style>
  <w:style w:type="paragraph" w:styleId="24">
    <w:name w:val="Heading 7"/>
    <w:basedOn w:val="707"/>
    <w:next w:val="707"/>
    <w:link w:val="25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5">
    <w:name w:val="Heading 7 Char"/>
    <w:basedOn w:val="709"/>
    <w:link w:val="24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6">
    <w:name w:val="Heading 8"/>
    <w:basedOn w:val="707"/>
    <w:next w:val="707"/>
    <w:link w:val="27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7">
    <w:name w:val="Heading 8 Char"/>
    <w:basedOn w:val="709"/>
    <w:link w:val="26"/>
    <w:uiPriority w:val="9"/>
    <w:rPr>
      <w:rFonts w:ascii="Arial" w:hAnsi="Arial" w:eastAsia="Arial" w:cs="Arial"/>
      <w:i/>
      <w:iCs/>
      <w:sz w:val="22"/>
      <w:szCs w:val="22"/>
    </w:rPr>
  </w:style>
  <w:style w:type="paragraph" w:styleId="28">
    <w:name w:val="Heading 9"/>
    <w:basedOn w:val="707"/>
    <w:next w:val="707"/>
    <w:link w:val="29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29">
    <w:name w:val="Heading 9 Char"/>
    <w:basedOn w:val="709"/>
    <w:link w:val="28"/>
    <w:uiPriority w:val="9"/>
    <w:rPr>
      <w:rFonts w:ascii="Arial" w:hAnsi="Arial" w:eastAsia="Arial" w:cs="Arial"/>
      <w:i/>
      <w:iCs/>
      <w:sz w:val="21"/>
      <w:szCs w:val="21"/>
    </w:rPr>
  </w:style>
  <w:style w:type="paragraph" w:styleId="33">
    <w:name w:val="Title"/>
    <w:basedOn w:val="707"/>
    <w:next w:val="707"/>
    <w:link w:val="34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4">
    <w:name w:val="Title Char"/>
    <w:basedOn w:val="709"/>
    <w:link w:val="33"/>
    <w:uiPriority w:val="10"/>
    <w:rPr>
      <w:sz w:val="48"/>
      <w:szCs w:val="48"/>
    </w:rPr>
  </w:style>
  <w:style w:type="paragraph" w:styleId="35">
    <w:name w:val="Subtitle"/>
    <w:basedOn w:val="707"/>
    <w:next w:val="707"/>
    <w:link w:val="36"/>
    <w:uiPriority w:val="11"/>
    <w:qFormat/>
    <w:pPr>
      <w:spacing w:before="200" w:after="200"/>
    </w:pPr>
    <w:rPr>
      <w:sz w:val="24"/>
      <w:szCs w:val="24"/>
    </w:rPr>
  </w:style>
  <w:style w:type="character" w:styleId="36">
    <w:name w:val="Subtitle Char"/>
    <w:basedOn w:val="709"/>
    <w:link w:val="35"/>
    <w:uiPriority w:val="11"/>
    <w:rPr>
      <w:sz w:val="24"/>
      <w:szCs w:val="24"/>
    </w:rPr>
  </w:style>
  <w:style w:type="paragraph" w:styleId="37">
    <w:name w:val="Quote"/>
    <w:basedOn w:val="707"/>
    <w:next w:val="707"/>
    <w:link w:val="38"/>
    <w:uiPriority w:val="29"/>
    <w:qFormat/>
    <w:pPr>
      <w:ind w:left="720" w:right="720"/>
    </w:pPr>
    <w:rPr>
      <w:i/>
    </w:rPr>
  </w:style>
  <w:style w:type="character" w:styleId="38">
    <w:name w:val="Quote Char"/>
    <w:link w:val="37"/>
    <w:uiPriority w:val="29"/>
    <w:rPr>
      <w:i/>
    </w:rPr>
  </w:style>
  <w:style w:type="paragraph" w:styleId="39">
    <w:name w:val="Intense Quote"/>
    <w:basedOn w:val="707"/>
    <w:next w:val="707"/>
    <w:link w:val="40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0">
    <w:name w:val="Intense Quote Char"/>
    <w:link w:val="39"/>
    <w:uiPriority w:val="30"/>
    <w:rPr>
      <w:i/>
    </w:rPr>
  </w:style>
  <w:style w:type="paragraph" w:styleId="41">
    <w:name w:val="Header"/>
    <w:basedOn w:val="707"/>
    <w:link w:val="42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2">
    <w:name w:val="Header Char"/>
    <w:basedOn w:val="709"/>
    <w:link w:val="41"/>
    <w:uiPriority w:val="99"/>
  </w:style>
  <w:style w:type="character" w:styleId="44">
    <w:name w:val="Footer Char"/>
    <w:basedOn w:val="709"/>
    <w:link w:val="718"/>
    <w:uiPriority w:val="99"/>
  </w:style>
  <w:style w:type="paragraph" w:styleId="45">
    <w:name w:val="Caption"/>
    <w:basedOn w:val="707"/>
    <w:next w:val="707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6">
    <w:name w:val="Caption Char"/>
    <w:basedOn w:val="45"/>
    <w:link w:val="718"/>
    <w:uiPriority w:val="99"/>
  </w:style>
  <w:style w:type="table" w:styleId="48">
    <w:name w:val="Table Grid Light"/>
    <w:basedOn w:val="710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9">
    <w:name w:val="Plain Table 1"/>
    <w:basedOn w:val="710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0">
    <w:name w:val="Plain Table 2"/>
    <w:basedOn w:val="710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3"/>
    <w:basedOn w:val="71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2">
    <w:name w:val="Plain Table 4"/>
    <w:basedOn w:val="71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3">
    <w:name w:val="Plain Table 5"/>
    <w:basedOn w:val="71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4">
    <w:name w:val="Grid Table 1 Light"/>
    <w:basedOn w:val="7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">
    <w:name w:val="Grid Table 1 Light - Accent 1"/>
    <w:basedOn w:val="7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2"/>
    <w:basedOn w:val="7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3"/>
    <w:basedOn w:val="7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4"/>
    <w:basedOn w:val="7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5"/>
    <w:basedOn w:val="7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6"/>
    <w:basedOn w:val="7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2"/>
    <w:basedOn w:val="7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2">
    <w:name w:val="Grid Table 2 - Accent 1"/>
    <w:basedOn w:val="7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2"/>
    <w:basedOn w:val="7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3"/>
    <w:basedOn w:val="7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4"/>
    <w:basedOn w:val="7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5"/>
    <w:basedOn w:val="7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6"/>
    <w:basedOn w:val="7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3"/>
    <w:basedOn w:val="7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 - Accent 1"/>
    <w:basedOn w:val="7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2"/>
    <w:basedOn w:val="7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3"/>
    <w:basedOn w:val="7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4"/>
    <w:basedOn w:val="7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5"/>
    <w:basedOn w:val="7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6"/>
    <w:basedOn w:val="7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4"/>
    <w:basedOn w:val="71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6">
    <w:name w:val="Grid Table 4 - Accent 1"/>
    <w:basedOn w:val="71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67a4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7">
    <w:name w:val="Grid Table 4 - Accent 2"/>
    <w:basedOn w:val="71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8">
    <w:name w:val="Grid Table 4 - Accent 3"/>
    <w:basedOn w:val="71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9">
    <w:name w:val="Grid Table 4 - Accent 4"/>
    <w:basedOn w:val="71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0">
    <w:name w:val="Grid Table 4 - Accent 5"/>
    <w:basedOn w:val="71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1">
    <w:name w:val="Grid Table 4 - Accent 6"/>
    <w:basedOn w:val="71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2">
    <w:name w:val="Grid Table 5 Dark"/>
    <w:basedOn w:val="7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3">
    <w:name w:val="Grid Table 5 Dark- Accent 1"/>
    <w:basedOn w:val="7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debf6" w:themeFill="accent1" w:themeFillTint="34"/>
    </w:tblPr>
    <w:tblStylePr w:type="band1Horz">
      <w:tcPr>
        <w:shd w:val="clear" w:color="ffffff" w:themeColor="accent1" w:themeTint="75" w:fill="b4d2eb" w:themeFill="accent1" w:themeFillTint="75"/>
      </w:tcPr>
    </w:tblStylePr>
    <w:tblStylePr w:type="band1Vert">
      <w:tcPr>
        <w:shd w:val="clear" w:color="ffffff" w:themeColor="accent1" w:themeTint="75" w:fill="b4d2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</w:style>
  <w:style w:type="table" w:styleId="84">
    <w:name w:val="Grid Table 5 Dark - Accent 2"/>
    <w:basedOn w:val="7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3"/>
    <w:basedOn w:val="7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86">
    <w:name w:val="Grid Table 5 Dark- Accent 4"/>
    <w:basedOn w:val="7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87">
    <w:name w:val="Grid Table 5 Dark - Accent 5"/>
    <w:basedOn w:val="7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2" w:themeFill="accent5" w:themeFillTint="34"/>
    </w:tblPr>
    <w:tblStylePr w:type="band1Horz">
      <w:tcPr>
        <w:shd w:val="clear" w:color="ffffff" w:themeColor="accent5" w:themeTint="75" w:fill="aabfe3" w:themeFill="accent5" w:themeFillTint="75"/>
      </w:tcPr>
    </w:tblStylePr>
    <w:tblStylePr w:type="band1Vert">
      <w:tcPr>
        <w:shd w:val="clear" w:color="ffffff" w:themeColor="accent5" w:themeTint="75" w:fill="aabfe3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6"/>
    <w:basedOn w:val="7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89">
    <w:name w:val="Grid Table 6 Colorful"/>
    <w:basedOn w:val="7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0">
    <w:name w:val="Grid Table 6 Colorful - Accent 1"/>
    <w:basedOn w:val="7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1">
    <w:name w:val="Grid Table 6 Colorful - Accent 2"/>
    <w:basedOn w:val="7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2">
    <w:name w:val="Grid Table 6 Colorful - Accent 3"/>
    <w:basedOn w:val="7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3">
    <w:name w:val="Grid Table 6 Colorful - Accent 4"/>
    <w:basedOn w:val="7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4">
    <w:name w:val="Grid Table 6 Colorful - Accent 5"/>
    <w:basedOn w:val="7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5">
    <w:name w:val="Grid Table 6 Colorful - Accent 6"/>
    <w:basedOn w:val="7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7 Colorful"/>
    <w:basedOn w:val="7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7">
    <w:name w:val="Grid Table 7 Colorful - Accent 1"/>
    <w:basedOn w:val="7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2"/>
    <w:basedOn w:val="7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3"/>
    <w:basedOn w:val="7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4"/>
    <w:basedOn w:val="7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5"/>
    <w:basedOn w:val="7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6"/>
    <w:basedOn w:val="7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3">
    <w:name w:val="List Table 1 Light"/>
    <w:basedOn w:val="71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4">
    <w:name w:val="List Table 1 Light - Accent 1"/>
    <w:basedOn w:val="71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2"/>
    <w:basedOn w:val="71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3"/>
    <w:basedOn w:val="71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4"/>
    <w:basedOn w:val="71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5"/>
    <w:basedOn w:val="71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6"/>
    <w:basedOn w:val="71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2"/>
    <w:basedOn w:val="7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1">
    <w:name w:val="List Table 2 - Accent 1"/>
    <w:basedOn w:val="7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2">
    <w:name w:val="List Table 2 - Accent 2"/>
    <w:basedOn w:val="7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3">
    <w:name w:val="List Table 2 - Accent 3"/>
    <w:basedOn w:val="7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4">
    <w:name w:val="List Table 2 - Accent 4"/>
    <w:basedOn w:val="7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5">
    <w:name w:val="List Table 2 - Accent 5"/>
    <w:basedOn w:val="7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6">
    <w:name w:val="List Table 2 - Accent 6"/>
    <w:basedOn w:val="7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7">
    <w:name w:val="List Table 3"/>
    <w:basedOn w:val="7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8">
    <w:name w:val="List Table 3 - Accent 1"/>
    <w:basedOn w:val="7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2"/>
    <w:basedOn w:val="7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3"/>
    <w:basedOn w:val="7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4"/>
    <w:basedOn w:val="7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5"/>
    <w:basedOn w:val="7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8eab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6"/>
    <w:basedOn w:val="7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4"/>
    <w:basedOn w:val="7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 - Accent 1"/>
    <w:basedOn w:val="7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2"/>
    <w:basedOn w:val="7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3"/>
    <w:basedOn w:val="7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4"/>
    <w:basedOn w:val="7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5"/>
    <w:basedOn w:val="7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6"/>
    <w:basedOn w:val="7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5 Dark"/>
    <w:basedOn w:val="7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2">
    <w:name w:val="List Table 5 Dark - Accent 1"/>
    <w:basedOn w:val="7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blStylePr w:type="band1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2"/>
    <w:basedOn w:val="7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3"/>
    <w:basedOn w:val="7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4"/>
    <w:basedOn w:val="7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5"/>
    <w:basedOn w:val="7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bdb" w:themeFill="accent5" w:themeFillTint="9A"/>
    </w:tblPr>
    <w:tblStylePr w:type="band1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8eab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8eab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6"/>
    <w:basedOn w:val="7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6 Colorful"/>
    <w:basedOn w:val="7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39">
    <w:name w:val="List Table 6 Colorful - Accent 1"/>
    <w:basedOn w:val="7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0">
    <w:name w:val="List Table 6 Colorful - Accent 2"/>
    <w:basedOn w:val="7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1">
    <w:name w:val="List Table 6 Colorful - Accent 3"/>
    <w:basedOn w:val="7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2">
    <w:name w:val="List Table 6 Colorful - Accent 4"/>
    <w:basedOn w:val="7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3">
    <w:name w:val="List Table 6 Colorful - Accent 5"/>
    <w:basedOn w:val="7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4">
    <w:name w:val="List Table 6 Colorful - Accent 6"/>
    <w:basedOn w:val="7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5">
    <w:name w:val="List Table 7 Colorful"/>
    <w:basedOn w:val="7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6">
    <w:name w:val="List Table 7 Colorful - Accent 1"/>
    <w:basedOn w:val="7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147">
    <w:name w:val="List Table 7 Colorful - Accent 2"/>
    <w:basedOn w:val="7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148">
    <w:name w:val="List Table 7 Colorful - Accent 3"/>
    <w:basedOn w:val="7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149">
    <w:name w:val="List Table 7 Colorful - Accent 4"/>
    <w:basedOn w:val="7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150">
    <w:name w:val="List Table 7 Colorful - Accent 5"/>
    <w:basedOn w:val="7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151">
    <w:name w:val="List Table 7 Colorful - Accent 6"/>
    <w:basedOn w:val="7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152">
    <w:name w:val="Lined - Accent"/>
    <w:basedOn w:val="71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3">
    <w:name w:val="Lined - Accent 1"/>
    <w:basedOn w:val="71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154">
    <w:name w:val="Lined - Accent 2"/>
    <w:basedOn w:val="71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55">
    <w:name w:val="Lined - Accent 3"/>
    <w:basedOn w:val="71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56">
    <w:name w:val="Lined - Accent 4"/>
    <w:basedOn w:val="71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57">
    <w:name w:val="Lined - Accent 5"/>
    <w:basedOn w:val="71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158">
    <w:name w:val="Lined - Accent 6"/>
    <w:basedOn w:val="71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59">
    <w:name w:val="Bordered &amp; Lined - Accent"/>
    <w:basedOn w:val="71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0">
    <w:name w:val="Bordered &amp; Lined - Accent 1"/>
    <w:basedOn w:val="71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161">
    <w:name w:val="Bordered &amp; Lined - Accent 2"/>
    <w:basedOn w:val="71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62">
    <w:name w:val="Bordered &amp; Lined - Accent 3"/>
    <w:basedOn w:val="71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63">
    <w:name w:val="Bordered &amp; Lined - Accent 4"/>
    <w:basedOn w:val="71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64">
    <w:name w:val="Bordered &amp; Lined - Accent 5"/>
    <w:basedOn w:val="71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165">
    <w:name w:val="Bordered &amp; Lined - Accent 6"/>
    <w:basedOn w:val="71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66">
    <w:name w:val="Bordered"/>
    <w:basedOn w:val="7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7">
    <w:name w:val="Bordered - Accent 1"/>
    <w:basedOn w:val="7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8">
    <w:name w:val="Bordered - Accent 2"/>
    <w:basedOn w:val="7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69">
    <w:name w:val="Bordered - Accent 3"/>
    <w:basedOn w:val="7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0">
    <w:name w:val="Bordered - Accent 4"/>
    <w:basedOn w:val="7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1">
    <w:name w:val="Bordered - Accent 5"/>
    <w:basedOn w:val="7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2">
    <w:name w:val="Bordered - Accent 6"/>
    <w:basedOn w:val="7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paragraph" w:styleId="174">
    <w:name w:val="footnote text"/>
    <w:basedOn w:val="707"/>
    <w:link w:val="175"/>
    <w:uiPriority w:val="99"/>
    <w:semiHidden/>
    <w:unhideWhenUsed/>
    <w:pPr>
      <w:spacing w:after="40" w:line="240" w:lineRule="auto"/>
    </w:pPr>
    <w:rPr>
      <w:sz w:val="18"/>
    </w:rPr>
  </w:style>
  <w:style w:type="character" w:styleId="175">
    <w:name w:val="Footnote Text Char"/>
    <w:link w:val="174"/>
    <w:uiPriority w:val="99"/>
    <w:rPr>
      <w:sz w:val="18"/>
    </w:rPr>
  </w:style>
  <w:style w:type="character" w:styleId="176">
    <w:name w:val="footnote reference"/>
    <w:basedOn w:val="709"/>
    <w:uiPriority w:val="99"/>
    <w:unhideWhenUsed/>
    <w:rPr>
      <w:vertAlign w:val="superscript"/>
    </w:rPr>
  </w:style>
  <w:style w:type="paragraph" w:styleId="177">
    <w:name w:val="endnote text"/>
    <w:basedOn w:val="707"/>
    <w:link w:val="178"/>
    <w:uiPriority w:val="99"/>
    <w:semiHidden/>
    <w:unhideWhenUsed/>
    <w:pPr>
      <w:spacing w:after="0" w:line="240" w:lineRule="auto"/>
    </w:pPr>
    <w:rPr>
      <w:sz w:val="20"/>
    </w:rPr>
  </w:style>
  <w:style w:type="character" w:styleId="178">
    <w:name w:val="Endnote Text Char"/>
    <w:link w:val="177"/>
    <w:uiPriority w:val="99"/>
    <w:rPr>
      <w:sz w:val="20"/>
    </w:rPr>
  </w:style>
  <w:style w:type="character" w:styleId="179">
    <w:name w:val="endnote reference"/>
    <w:basedOn w:val="709"/>
    <w:uiPriority w:val="99"/>
    <w:semiHidden/>
    <w:unhideWhenUsed/>
    <w:rPr>
      <w:vertAlign w:val="superscript"/>
    </w:rPr>
  </w:style>
  <w:style w:type="paragraph" w:styleId="180">
    <w:name w:val="toc 1"/>
    <w:basedOn w:val="707"/>
    <w:next w:val="707"/>
    <w:uiPriority w:val="39"/>
    <w:unhideWhenUsed/>
    <w:pPr>
      <w:ind w:left="0" w:right="0" w:firstLine="0"/>
      <w:spacing w:after="57"/>
    </w:pPr>
  </w:style>
  <w:style w:type="paragraph" w:styleId="181">
    <w:name w:val="toc 2"/>
    <w:basedOn w:val="707"/>
    <w:next w:val="707"/>
    <w:uiPriority w:val="39"/>
    <w:unhideWhenUsed/>
    <w:pPr>
      <w:ind w:left="283" w:right="0" w:firstLine="0"/>
      <w:spacing w:after="57"/>
    </w:pPr>
  </w:style>
  <w:style w:type="paragraph" w:styleId="182">
    <w:name w:val="toc 3"/>
    <w:basedOn w:val="707"/>
    <w:next w:val="707"/>
    <w:uiPriority w:val="39"/>
    <w:unhideWhenUsed/>
    <w:pPr>
      <w:ind w:left="567" w:right="0" w:firstLine="0"/>
      <w:spacing w:after="57"/>
    </w:pPr>
  </w:style>
  <w:style w:type="paragraph" w:styleId="183">
    <w:name w:val="toc 4"/>
    <w:basedOn w:val="707"/>
    <w:next w:val="707"/>
    <w:uiPriority w:val="39"/>
    <w:unhideWhenUsed/>
    <w:pPr>
      <w:ind w:left="850" w:right="0" w:firstLine="0"/>
      <w:spacing w:after="57"/>
    </w:pPr>
  </w:style>
  <w:style w:type="paragraph" w:styleId="184">
    <w:name w:val="toc 5"/>
    <w:basedOn w:val="707"/>
    <w:next w:val="707"/>
    <w:uiPriority w:val="39"/>
    <w:unhideWhenUsed/>
    <w:pPr>
      <w:ind w:left="1134" w:right="0" w:firstLine="0"/>
      <w:spacing w:after="57"/>
    </w:pPr>
  </w:style>
  <w:style w:type="paragraph" w:styleId="185">
    <w:name w:val="toc 6"/>
    <w:basedOn w:val="707"/>
    <w:next w:val="707"/>
    <w:uiPriority w:val="39"/>
    <w:unhideWhenUsed/>
    <w:pPr>
      <w:ind w:left="1417" w:right="0" w:firstLine="0"/>
      <w:spacing w:after="57"/>
    </w:pPr>
  </w:style>
  <w:style w:type="paragraph" w:styleId="186">
    <w:name w:val="toc 7"/>
    <w:basedOn w:val="707"/>
    <w:next w:val="707"/>
    <w:uiPriority w:val="39"/>
    <w:unhideWhenUsed/>
    <w:pPr>
      <w:ind w:left="1701" w:right="0" w:firstLine="0"/>
      <w:spacing w:after="57"/>
    </w:pPr>
  </w:style>
  <w:style w:type="paragraph" w:styleId="187">
    <w:name w:val="toc 8"/>
    <w:basedOn w:val="707"/>
    <w:next w:val="707"/>
    <w:uiPriority w:val="39"/>
    <w:unhideWhenUsed/>
    <w:pPr>
      <w:ind w:left="1984" w:right="0" w:firstLine="0"/>
      <w:spacing w:after="57"/>
    </w:pPr>
  </w:style>
  <w:style w:type="paragraph" w:styleId="188">
    <w:name w:val="toc 9"/>
    <w:basedOn w:val="707"/>
    <w:next w:val="707"/>
    <w:uiPriority w:val="39"/>
    <w:unhideWhenUsed/>
    <w:pPr>
      <w:ind w:left="2268" w:right="0" w:firstLine="0"/>
      <w:spacing w:after="57"/>
    </w:pPr>
  </w:style>
  <w:style w:type="paragraph" w:styleId="189">
    <w:name w:val="TOC Heading"/>
    <w:uiPriority w:val="39"/>
    <w:unhideWhenUsed/>
  </w:style>
  <w:style w:type="paragraph" w:styleId="190">
    <w:name w:val="table of figures"/>
    <w:basedOn w:val="707"/>
    <w:next w:val="707"/>
    <w:uiPriority w:val="99"/>
    <w:unhideWhenUsed/>
    <w:pPr>
      <w:spacing w:after="0" w:afterAutospacing="0"/>
    </w:pPr>
  </w:style>
  <w:style w:type="paragraph" w:styleId="707" w:default="1">
    <w:name w:val="Normal"/>
    <w:qFormat/>
    <w:rPr>
      <w:lang w:val="uk-UA"/>
    </w:rPr>
  </w:style>
  <w:style w:type="paragraph" w:styleId="708">
    <w:name w:val="Heading 2"/>
    <w:basedOn w:val="707"/>
    <w:link w:val="727"/>
    <w:uiPriority w:val="9"/>
    <w:qFormat/>
    <w:pPr>
      <w:spacing w:before="100" w:beforeAutospacing="1" w:after="100" w:afterAutospacing="1" w:line="240" w:lineRule="auto"/>
      <w:outlineLvl w:val="1"/>
    </w:pPr>
    <w:rPr>
      <w:rFonts w:ascii="Times New Roman" w:hAnsi="Times New Roman" w:eastAsia="Times New Roman" w:cs="Times New Roman"/>
      <w:b/>
      <w:bCs/>
      <w:sz w:val="36"/>
      <w:szCs w:val="36"/>
      <w:lang w:eastAsia="uk-UA"/>
    </w:rPr>
  </w:style>
  <w:style w:type="character" w:styleId="709" w:default="1">
    <w:name w:val="Default Paragraph Font"/>
    <w:uiPriority w:val="1"/>
    <w:semiHidden/>
    <w:unhideWhenUsed/>
  </w:style>
  <w:style w:type="table" w:styleId="710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711" w:default="1">
    <w:name w:val="No List"/>
    <w:uiPriority w:val="99"/>
    <w:semiHidden/>
    <w:unhideWhenUsed/>
  </w:style>
  <w:style w:type="paragraph" w:styleId="712">
    <w:name w:val="List Paragraph"/>
    <w:basedOn w:val="707"/>
    <w:link w:val="713"/>
    <w:uiPriority w:val="34"/>
    <w:qFormat/>
    <w:pPr>
      <w:contextualSpacing/>
      <w:ind w:left="720"/>
      <w:spacing w:after="200" w:line="276" w:lineRule="auto"/>
    </w:pPr>
    <w:rPr>
      <w:rFonts w:ascii="Calibri" w:hAnsi="Calibri" w:eastAsia="Calibri" w:cs="Calibri"/>
      <w:lang w:val="ru-RU" w:eastAsia="zh-CN"/>
    </w:rPr>
  </w:style>
  <w:style w:type="character" w:styleId="713" w:customStyle="1">
    <w:name w:val="Абзац списку Знак"/>
    <w:link w:val="712"/>
    <w:uiPriority w:val="34"/>
    <w:qFormat/>
    <w:rPr>
      <w:rFonts w:ascii="Calibri" w:hAnsi="Calibri" w:eastAsia="Calibri" w:cs="Calibri"/>
      <w:lang w:eastAsia="zh-CN"/>
    </w:rPr>
  </w:style>
  <w:style w:type="table" w:styleId="714">
    <w:name w:val="Table Grid"/>
    <w:basedOn w:val="710"/>
    <w:uiPriority w:val="39"/>
    <w:pPr>
      <w:spacing w:after="0" w:line="240" w:lineRule="auto"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715" w:customStyle="1">
    <w:name w:val="Сетка таблицы2"/>
    <w:basedOn w:val="710"/>
    <w:next w:val="714"/>
    <w:uiPriority w:val="39"/>
    <w:pPr>
      <w:spacing w:after="0" w:line="240" w:lineRule="auto"/>
    </w:pPr>
    <w:rPr>
      <w:rFonts w:ascii="Times New Roman" w:hAnsi="Times New Roman" w:eastAsia="Calibri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styleId="716">
    <w:name w:val="Normal (Web)"/>
    <w:basedOn w:val="707"/>
    <w:link w:val="723"/>
    <w:unhideWhenUsed/>
    <w:qFormat/>
    <w:rPr>
      <w:rFonts w:ascii="Times New Roman" w:hAnsi="Times New Roman" w:cs="Times New Roman"/>
      <w:sz w:val="24"/>
      <w:szCs w:val="24"/>
    </w:rPr>
  </w:style>
  <w:style w:type="table" w:styleId="717" w:customStyle="1">
    <w:name w:val="Сетка таблицы1"/>
    <w:basedOn w:val="710"/>
    <w:next w:val="714"/>
    <w:uiPriority w:val="39"/>
    <w:pPr>
      <w:spacing w:after="0" w:line="240" w:lineRule="auto"/>
    </w:pPr>
    <w:rPr>
      <w:rFonts w:ascii="Times New Roman" w:hAnsi="Times New Roman"/>
      <w:sz w:val="28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styleId="718">
    <w:name w:val="Footer"/>
    <w:basedOn w:val="707"/>
    <w:link w:val="719"/>
    <w:uiPriority w:val="99"/>
    <w:unhideWhenUsed/>
    <w:pPr>
      <w:spacing w:after="0" w:line="240" w:lineRule="auto"/>
      <w:tabs>
        <w:tab w:val="center" w:pos="4819" w:leader="none"/>
        <w:tab w:val="right" w:pos="9639" w:leader="none"/>
      </w:tabs>
    </w:pPr>
    <w:rPr>
      <w:rFonts w:ascii="Calibri" w:hAnsi="Calibri" w:eastAsia="Calibri" w:cs="Calibri"/>
      <w:lang w:val="ru-RU" w:eastAsia="zh-CN"/>
    </w:rPr>
  </w:style>
  <w:style w:type="character" w:styleId="719" w:customStyle="1">
    <w:name w:val="Нижній колонтитул Знак"/>
    <w:basedOn w:val="709"/>
    <w:link w:val="718"/>
    <w:uiPriority w:val="99"/>
    <w:rPr>
      <w:rFonts w:ascii="Calibri" w:hAnsi="Calibri" w:eastAsia="Calibri" w:cs="Calibri"/>
      <w:lang w:eastAsia="zh-CN"/>
    </w:rPr>
  </w:style>
  <w:style w:type="paragraph" w:styleId="720" w:customStyle="1">
    <w:name w:val="FR1"/>
    <w:pPr>
      <w:ind w:left="40"/>
      <w:jc w:val="both"/>
      <w:spacing w:after="0" w:line="240" w:lineRule="auto"/>
      <w:widowControl w:val="off"/>
    </w:pPr>
    <w:rPr>
      <w:rFonts w:ascii="Calibri" w:hAnsi="Calibri" w:eastAsia="Calibri" w:cs="Times New Roman"/>
      <w:sz w:val="20"/>
      <w:szCs w:val="20"/>
      <w:lang w:val="uk-UA"/>
    </w:rPr>
  </w:style>
  <w:style w:type="character" w:styleId="721">
    <w:name w:val="Hyperlink"/>
    <w:basedOn w:val="709"/>
    <w:uiPriority w:val="99"/>
    <w:unhideWhenUsed/>
    <w:rPr>
      <w:color w:val="0563c1" w:themeColor="hyperlink"/>
      <w:u w:val="single"/>
    </w:rPr>
  </w:style>
  <w:style w:type="character" w:styleId="722" w:customStyle="1">
    <w:name w:val="xfm_93972720"/>
    <w:basedOn w:val="709"/>
  </w:style>
  <w:style w:type="character" w:styleId="723" w:customStyle="1">
    <w:name w:val="Звичайний (веб) Знак"/>
    <w:link w:val="716"/>
    <w:qFormat/>
    <w:rPr>
      <w:rFonts w:ascii="Times New Roman" w:hAnsi="Times New Roman" w:cs="Times New Roman"/>
      <w:sz w:val="24"/>
      <w:szCs w:val="24"/>
      <w:lang w:val="uk-UA"/>
    </w:rPr>
  </w:style>
  <w:style w:type="paragraph" w:styleId="724">
    <w:name w:val="Body Text 2"/>
    <w:basedOn w:val="707"/>
    <w:link w:val="725"/>
    <w:pPr>
      <w:spacing w:after="0" w:line="240" w:lineRule="auto"/>
    </w:pPr>
    <w:rPr>
      <w:rFonts w:ascii="Times New Roman" w:hAnsi="Times New Roman" w:eastAsia="Times New Roman" w:cs="Times New Roman"/>
      <w:sz w:val="28"/>
      <w:szCs w:val="20"/>
      <w:lang w:val="ru-RU" w:eastAsia="ru-RU"/>
    </w:rPr>
  </w:style>
  <w:style w:type="character" w:styleId="725" w:customStyle="1">
    <w:name w:val="Основний текст 2 Знак"/>
    <w:basedOn w:val="709"/>
    <w:link w:val="724"/>
    <w:rPr>
      <w:rFonts w:ascii="Times New Roman" w:hAnsi="Times New Roman" w:eastAsia="Times New Roman" w:cs="Times New Roman"/>
      <w:sz w:val="28"/>
      <w:szCs w:val="20"/>
      <w:lang w:eastAsia="ru-RU"/>
    </w:rPr>
  </w:style>
  <w:style w:type="paragraph" w:styleId="726" w:customStyle="1">
    <w:name w:val="Default"/>
    <w:pPr>
      <w:spacing w:after="0" w:line="240" w:lineRule="auto"/>
    </w:pPr>
    <w:rPr>
      <w:rFonts w:ascii="Times New Roman" w:hAnsi="Times New Roman" w:eastAsia="Calibri" w:cs="Times New Roman"/>
      <w:color w:val="000000"/>
      <w:sz w:val="24"/>
      <w:szCs w:val="24"/>
      <w:lang w:val="uk-UA" w:eastAsia="uk-UA"/>
    </w:rPr>
  </w:style>
  <w:style w:type="character" w:styleId="727" w:customStyle="1">
    <w:name w:val="Заголовок 2 Знак"/>
    <w:basedOn w:val="709"/>
    <w:link w:val="708"/>
    <w:uiPriority w:val="9"/>
    <w:rPr>
      <w:rFonts w:ascii="Times New Roman" w:hAnsi="Times New Roman" w:eastAsia="Times New Roman" w:cs="Times New Roman"/>
      <w:b/>
      <w:bCs/>
      <w:sz w:val="36"/>
      <w:szCs w:val="36"/>
      <w:lang w:val="uk-UA" w:eastAsia="uk-UA"/>
    </w:rPr>
  </w:style>
  <w:style w:type="paragraph" w:styleId="728">
    <w:name w:val="No Spacing"/>
    <w:link w:val="729"/>
    <w:uiPriority w:val="1"/>
    <w:qFormat/>
    <w:pPr>
      <w:spacing w:after="0" w:line="240" w:lineRule="auto"/>
    </w:pPr>
    <w:rPr>
      <w:rFonts w:ascii="Calibri" w:hAnsi="Calibri" w:eastAsia="Calibri" w:cs="Times New Roman"/>
      <w:lang w:val="uk-UA"/>
    </w:rPr>
  </w:style>
  <w:style w:type="character" w:styleId="729" w:customStyle="1">
    <w:name w:val="Без інтервалів Знак"/>
    <w:basedOn w:val="709"/>
    <w:link w:val="728"/>
    <w:uiPriority w:val="1"/>
    <w:rPr>
      <w:rFonts w:ascii="Calibri" w:hAnsi="Calibri" w:eastAsia="Calibri" w:cs="Times New Roman"/>
      <w:lang w:val="uk-UA"/>
    </w:rPr>
  </w:style>
  <w:style w:type="character" w:styleId="730" w:customStyle="1">
    <w:name w:val="Другое_"/>
    <w:basedOn w:val="709"/>
    <w:link w:val="731"/>
    <w:rPr>
      <w:rFonts w:ascii="Calibri" w:hAnsi="Calibri" w:eastAsia="Calibri" w:cs="Calibri"/>
      <w:sz w:val="20"/>
      <w:szCs w:val="20"/>
    </w:rPr>
  </w:style>
  <w:style w:type="paragraph" w:styleId="731" w:customStyle="1">
    <w:name w:val="Другое"/>
    <w:basedOn w:val="707"/>
    <w:link w:val="730"/>
    <w:qFormat/>
    <w:pPr>
      <w:spacing w:after="0" w:line="240" w:lineRule="auto"/>
      <w:widowControl w:val="off"/>
    </w:pPr>
    <w:rPr>
      <w:rFonts w:ascii="Calibri" w:hAnsi="Calibri" w:eastAsia="Calibri" w:cs="Calibri"/>
      <w:sz w:val="20"/>
      <w:szCs w:val="20"/>
      <w:lang w:val="ru-RU"/>
    </w:rPr>
  </w:style>
  <w:style w:type="paragraph" w:styleId="732" w:customStyle="1">
    <w:name w:val="Звичайний1"/>
    <w:qFormat/>
    <w:pPr>
      <w:spacing w:after="0" w:line="240" w:lineRule="auto"/>
    </w:pPr>
    <w:rPr>
      <w:rFonts w:ascii="Tms Rmn" w:hAnsi="Tms Rmn" w:eastAsia="Times New Roman" w:cs="Times New Roman"/>
      <w:sz w:val="20"/>
      <w:szCs w:val="20"/>
      <w:lang w:val="uk-UA" w:eastAsia="ru-RU" w:bidi="te-IN"/>
    </w:rPr>
  </w:style>
  <w:style w:type="character" w:styleId="733" w:customStyle="1">
    <w:name w:val="Основной текст (2)_"/>
    <w:basedOn w:val="709"/>
    <w:link w:val="734"/>
    <w:rPr>
      <w:rFonts w:eastAsia="Times New Roman" w:cs="Times New Roman"/>
      <w:shd w:val="clear" w:color="auto" w:fill="ffffff"/>
    </w:rPr>
  </w:style>
  <w:style w:type="paragraph" w:styleId="734" w:customStyle="1">
    <w:name w:val="Основной текст (2)"/>
    <w:basedOn w:val="707"/>
    <w:link w:val="733"/>
    <w:pPr>
      <w:ind w:hanging="700"/>
      <w:jc w:val="both"/>
      <w:spacing w:before="240" w:after="480" w:line="0" w:lineRule="atLeast"/>
      <w:shd w:val="clear" w:color="auto" w:fill="ffffff"/>
      <w:widowControl w:val="off"/>
    </w:pPr>
    <w:rPr>
      <w:rFonts w:eastAsia="Times New Roman" w:cs="Times New Roman"/>
      <w:lang w:val="ru-RU"/>
    </w:rPr>
  </w:style>
  <w:style w:type="character" w:styleId="735" w:customStyle="1">
    <w:name w:val="Текст у виносці Знак"/>
    <w:basedOn w:val="709"/>
    <w:link w:val="736"/>
    <w:uiPriority w:val="99"/>
    <w:semiHidden/>
    <w:rPr>
      <w:rFonts w:ascii="Segoe UI" w:hAnsi="Segoe UI" w:eastAsia="Times New Roman" w:cs="Segoe UI"/>
      <w:sz w:val="18"/>
      <w:szCs w:val="18"/>
      <w:lang w:eastAsia="ru-RU"/>
    </w:rPr>
  </w:style>
  <w:style w:type="paragraph" w:styleId="736">
    <w:name w:val="Balloon Text"/>
    <w:basedOn w:val="707"/>
    <w:link w:val="735"/>
    <w:uiPriority w:val="99"/>
    <w:semiHidden/>
    <w:unhideWhenUsed/>
    <w:pPr>
      <w:spacing w:after="0" w:line="240" w:lineRule="auto"/>
      <w:widowControl w:val="off"/>
    </w:pPr>
    <w:rPr>
      <w:rFonts w:ascii="Segoe UI" w:hAnsi="Segoe UI" w:eastAsia="Times New Roman" w:cs="Segoe UI"/>
      <w:sz w:val="18"/>
      <w:szCs w:val="18"/>
      <w:lang w:val="ru-RU" w:eastAsia="ru-RU"/>
    </w:rPr>
  </w:style>
  <w:style w:type="character" w:styleId="737" w:customStyle="1">
    <w:name w:val="Текст у виносці Знак1"/>
    <w:basedOn w:val="709"/>
    <w:uiPriority w:val="99"/>
    <w:semiHidden/>
    <w:rPr>
      <w:rFonts w:ascii="Segoe UI" w:hAnsi="Segoe UI" w:cs="Segoe UI"/>
      <w:sz w:val="18"/>
      <w:szCs w:val="18"/>
      <w:lang w:val="uk-UA"/>
    </w:rPr>
  </w:style>
  <w:style w:type="character" w:styleId="738" w:customStyle="1">
    <w:name w:val="T23"/>
    <w:rPr>
      <w:rFonts w:hint="default" w:ascii="Times New Roman" w:hAnsi="Times New Roman" w:eastAsia="Times New Roman1" w:cs="Times New Roman"/>
    </w:rPr>
  </w:style>
  <w:style w:type="paragraph" w:styleId="739" w:customStyle="1">
    <w:name w:val="Абзац списку1"/>
    <w:basedOn w:val="707"/>
    <w:uiPriority w:val="99"/>
    <w:qFormat/>
    <w:pPr>
      <w:ind w:left="720"/>
      <w:jc w:val="both"/>
      <w:spacing w:after="0" w:line="276" w:lineRule="auto"/>
    </w:pPr>
    <w:rPr>
      <w:rFonts w:ascii="Times New Roman" w:hAnsi="Times New Roman" w:eastAsia="Calibri" w:cs="Times New Roman"/>
      <w:sz w:val="24"/>
      <w:szCs w:val="24"/>
      <w:lang w:eastAsia="zh-CN" w:bidi="hi-IN"/>
    </w:rPr>
  </w:style>
  <w:style w:type="character" w:styleId="740" w:customStyle="1">
    <w:name w:val="markedcontent"/>
    <w:basedOn w:val="709"/>
  </w:style>
  <w:style w:type="paragraph" w:styleId="741">
    <w:name w:val="annotation text"/>
    <w:basedOn w:val="707"/>
    <w:link w:val="742"/>
    <w:uiPriority w:val="99"/>
    <w:unhideWhenUsed/>
    <w:pPr>
      <w:spacing w:after="0" w:line="240" w:lineRule="auto"/>
      <w:widowControl w:val="off"/>
    </w:pPr>
    <w:rPr>
      <w:rFonts w:ascii="Times New Roman" w:hAnsi="Times New Roman" w:eastAsia="Times New Roman" w:cs="Times New Roman"/>
      <w:sz w:val="20"/>
      <w:szCs w:val="20"/>
      <w:lang w:val="ru-RU" w:eastAsia="ru-RU"/>
    </w:rPr>
  </w:style>
  <w:style w:type="character" w:styleId="742" w:customStyle="1">
    <w:name w:val="Текст примітки Знак"/>
    <w:basedOn w:val="709"/>
    <w:link w:val="741"/>
    <w:uiPriority w:val="99"/>
    <w:rPr>
      <w:rFonts w:ascii="Times New Roman" w:hAnsi="Times New Roman" w:eastAsia="Times New Roman" w:cs="Times New Roman"/>
      <w:sz w:val="20"/>
      <w:szCs w:val="20"/>
      <w:lang w:eastAsia="ru-RU"/>
    </w:rPr>
  </w:style>
  <w:style w:type="character" w:styleId="743" w:customStyle="1">
    <w:name w:val="docdata"/>
    <w:basedOn w:val="709"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footer" Target="footer1.xml" /><Relationship Id="rId10" Type="http://schemas.openxmlformats.org/officeDocument/2006/relationships/customXml" Target="../customXml/item1.xml" /><Relationship Id="rId11" Type="http://schemas.openxmlformats.org/officeDocument/2006/relationships/hyperlink" Target="https://www.dzo.com.ua/tenders/17227183" TargetMode="External"/><Relationship Id="rId12" Type="http://schemas.openxmlformats.org/officeDocument/2006/relationships/image" Target="media/image1.png"/><Relationship Id="rId13" Type="http://schemas.openxmlformats.org/officeDocument/2006/relationships/image" Target="media/image2.png"/><Relationship Id="rId14" Type="http://schemas.openxmlformats.org/officeDocument/2006/relationships/image" Target="media/image3.png"/><Relationship Id="rId15" Type="http://schemas.openxmlformats.org/officeDocument/2006/relationships/image" Target="media/image4.png"/><Relationship Id="rId16" Type="http://schemas.openxmlformats.org/officeDocument/2006/relationships/image" Target="media/image5.png"/><Relationship Id="rId17" Type="http://schemas.openxmlformats.org/officeDocument/2006/relationships/image" Target="media/image6.jpg"/><Relationship Id="rId18" Type="http://schemas.openxmlformats.org/officeDocument/2006/relationships/image" Target="media/image7.png"/><Relationship Id="rId19" Type="http://schemas.openxmlformats.org/officeDocument/2006/relationships/image" Target="media/image8.png"/><Relationship Id="rId20" Type="http://schemas.openxmlformats.org/officeDocument/2006/relationships/image" Target="media/image9.png"/><Relationship Id="rId21" Type="http://schemas.openxmlformats.org/officeDocument/2006/relationships/image" Target="media/image10.png"/><Relationship Id="rId22" Type="http://schemas.openxmlformats.org/officeDocument/2006/relationships/image" Target="media/image11.png"/><Relationship Id="rId23" Type="http://schemas.openxmlformats.org/officeDocument/2006/relationships/image" Target="media/image12.png"/><Relationship Id="rId24" Type="http://schemas.openxmlformats.org/officeDocument/2006/relationships/image" Target="media/image13.pn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3C65B9-6C17-4B00-95F1-8E64DA3633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ONLYOFFICE/7.2.2.56</Application>
  <Company>SPecialiST RePack</Company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ВЮС 2</dc:creator>
  <cp:keywords/>
  <dc:description/>
  <cp:lastModifiedBy>Павріанідіс Аліса Віталіївна</cp:lastModifiedBy>
  <cp:revision>147</cp:revision>
  <dcterms:created xsi:type="dcterms:W3CDTF">2022-11-01T12:47:00Z</dcterms:created>
  <dcterms:modified xsi:type="dcterms:W3CDTF">2023-11-02T17:20:22Z</dcterms:modified>
</cp:coreProperties>
</file>