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hyperlink r:id="rId11" w:tooltip="https://www.dzo.com.ua/tenders/17227183" w:history="1">
        <w:r>
          <w:rPr>
            <w:b w:val="0"/>
            <w:bCs w:val="0"/>
            <w:sz w:val="24"/>
            <w:szCs w:val="24"/>
          </w:rPr>
          <w:t xml:space="preserve"> Закупівля </w:t>
        </w:r>
        <w:r>
          <w:rPr>
            <w:b w:val="0"/>
            <w:bCs w:val="0"/>
            <w:color w:val="000000" w:themeColor="text1"/>
            <w:sz w:val="24"/>
            <w:szCs w:val="24"/>
          </w:rPr>
          <w:t xml:space="preserve">послуги з розгортання програмно-апаратного комплексу «Безпечна країна» </w:t>
        </w:r>
        <w:r>
          <w:rPr>
            <w:b w:val="0"/>
            <w:bCs w:val="0"/>
            <w:sz w:val="24"/>
            <w:szCs w:val="24"/>
          </w:rPr>
          <w:t xml:space="preserve"> за кодом CPV за ЄЗС ДК 021:2015: 72260000-5 </w:t>
        </w:r>
      </w:hyperlink>
      <w:r>
        <w:rPr>
          <w:b w:val="0"/>
          <w:bCs w:val="0"/>
          <w:sz w:val="24"/>
          <w:szCs w:val="24"/>
        </w:rPr>
        <w:t xml:space="preserve"> Послуги, пов’язані з програмним забезпеченням</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020403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eastAsia="uk-UA"/>
        </w:rPr>
        <w:t xml:space="preserve">Закупівля послуги з розгортання програмно-апаратного комплексу «Безпечна країна»</w:t>
      </w:r>
      <w:r/>
    </w:p>
    <w:p>
      <w:pPr>
        <w:ind w:firstLine="357"/>
        <w:jc w:val="center"/>
        <w:spacing w:after="0" w:line="240" w:lineRule="auto"/>
        <w:rPr>
          <w:rFonts w:ascii="Times New Roman" w:hAnsi="Times New Roman" w:cs="Times New Roman"/>
          <w:b/>
          <w:color w:val="000000"/>
          <w:sz w:val="24"/>
          <w:szCs w:val="24"/>
        </w:rPr>
      </w:pPr>
      <w:r/>
      <w:bookmarkStart w:id="0" w:name="_Hlk133583335"/>
      <w:r/>
      <w:bookmarkEnd w:id="0"/>
      <w:r/>
    </w:p>
    <w:p>
      <w:pPr>
        <w:jc w:val="center"/>
        <w:spacing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jc w:val="both"/>
        <w:spacing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center"/>
        <w:spacing w:line="240" w:lineRule="auto"/>
        <w:rPr>
          <w:rFonts w:ascii="Times New Roman" w:hAnsi="Times New Roman" w:eastAsia="Times New Roman" w:cs="Times New Roman"/>
          <w:sz w:val="24"/>
          <w:szCs w:val="24"/>
          <w:u w:val="single"/>
          <w:lang w:eastAsia="ru-RU"/>
        </w:rPr>
      </w:pPr>
      <w:r>
        <w:rPr>
          <w:rFonts w:ascii="Times New Roman" w:hAnsi="Times New Roman" w:cs="Times New Roman"/>
          <w:b/>
          <w:bCs/>
          <w:sz w:val="24"/>
          <w:szCs w:val="24"/>
          <w:u w:val="single"/>
          <w:lang w:eastAsia="uk-UA"/>
        </w:rPr>
        <w:t xml:space="preserve">Закупівля </w:t>
      </w:r>
      <w:r>
        <w:rPr>
          <w:rFonts w:ascii="Times New Roman" w:hAnsi="Times New Roman" w:eastAsia="Calibri" w:cs="Times New Roman"/>
          <w:b/>
          <w:bCs/>
          <w:sz w:val="24"/>
          <w:szCs w:val="24"/>
          <w:u w:val="single"/>
          <w:lang w:eastAsia="uk-UA"/>
        </w:rPr>
        <w:t xml:space="preserve">послуги з цілодобової воєнізованої охорони (1 пост) (охорона об'єкту ДУ ЦІТ МВС України, розміщеного за </w:t>
      </w:r>
      <w:r>
        <w:rPr>
          <w:rFonts w:ascii="Times New Roman" w:hAnsi="Times New Roman" w:eastAsia="Calibri" w:cs="Times New Roman"/>
          <w:b/>
          <w:bCs/>
          <w:sz w:val="24"/>
          <w:szCs w:val="24"/>
          <w:u w:val="single"/>
          <w:lang w:eastAsia="uk-UA"/>
        </w:rPr>
        <w:t xml:space="preserve">адресою</w:t>
      </w:r>
      <w:r>
        <w:rPr>
          <w:rFonts w:ascii="Times New Roman" w:hAnsi="Times New Roman" w:eastAsia="Calibri" w:cs="Times New Roman"/>
          <w:b/>
          <w:bCs/>
          <w:sz w:val="24"/>
          <w:szCs w:val="24"/>
          <w:u w:val="single"/>
          <w:lang w:eastAsia="uk-UA"/>
        </w:rPr>
        <w:t xml:space="preserve">: смт. Коцюбинське, вул. Залізнична 7В)</w:t>
      </w:r>
      <w:r>
        <w:rPr>
          <w:rFonts w:ascii="Times New Roman" w:hAnsi="Times New Roman" w:cs="Times New Roman"/>
          <w:b/>
          <w:bCs/>
          <w:sz w:val="24"/>
          <w:szCs w:val="24"/>
          <w:u w:val="single"/>
          <w:lang w:eastAsia="uk-UA"/>
        </w:rPr>
        <w:t xml:space="preserve"> за кодом CPV за ЄЗС ДК 021:2015: </w:t>
      </w:r>
      <w:r>
        <w:rPr>
          <w:rFonts w:ascii="Times New Roman" w:hAnsi="Times New Roman" w:eastAsia="Calibri" w:cs="Times New Roman"/>
          <w:b/>
          <w:bCs/>
          <w:sz w:val="24"/>
          <w:szCs w:val="24"/>
          <w:u w:val="single"/>
          <w:lang w:eastAsia="uk-UA"/>
        </w:rPr>
        <w:t xml:space="preserve">79710000-4 Охоронні послуги</w:t>
      </w:r>
      <w:r>
        <w:rPr>
          <w:rFonts w:ascii="Times New Roman" w:hAnsi="Times New Roman" w:cs="Times New Roman"/>
          <w:sz w:val="24"/>
          <w:szCs w:val="24"/>
          <w:u w:val="single"/>
        </w:rPr>
        <w:br/>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12"/>
        <w:tblW w:w="9634" w:type="dxa"/>
        <w:tblLook w:val="04A0" w:firstRow="1" w:lastRow="0" w:firstColumn="1" w:lastColumn="0" w:noHBand="0" w:noVBand="1"/>
      </w:tblPr>
      <w:tblGrid>
        <w:gridCol w:w="562"/>
        <w:gridCol w:w="6096"/>
        <w:gridCol w:w="1275"/>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14"/>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6096" w:type="dxa"/>
            <w:textDirection w:val="lrTb"/>
            <w:noWrap w:val="false"/>
          </w:tcPr>
          <w:p>
            <w:pPr>
              <w:pStyle w:val="714"/>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pStyle w:val="714"/>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14"/>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14"/>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6096" w:type="dxa"/>
            <w:vAlign w:val="center"/>
            <w:textDirection w:val="lrTb"/>
            <w:noWrap w:val="false"/>
          </w:tcPr>
          <w:p>
            <w:pPr>
              <w:pStyle w:val="714"/>
              <w:jc w:val="both"/>
              <w:rPr>
                <w:b/>
                <w:lang w:val="ru-RU"/>
              </w:rPr>
            </w:pPr>
            <w:r>
              <w:rPr>
                <w:b/>
                <w:bCs/>
                <w:color w:val="000000"/>
                <w:lang w:val="ru-RU"/>
              </w:rPr>
              <w:t xml:space="preserve">Послуги</w:t>
            </w:r>
            <w:r>
              <w:rPr>
                <w:b/>
                <w:bCs/>
                <w:color w:val="000000"/>
                <w:lang w:val="ru-RU"/>
              </w:rPr>
              <w:t xml:space="preserve"> з </w:t>
            </w:r>
            <w:r>
              <w:rPr>
                <w:b/>
                <w:bCs/>
                <w:color w:val="000000"/>
                <w:lang w:val="ru-RU"/>
              </w:rPr>
              <w:t xml:space="preserve">цілодобової</w:t>
            </w:r>
            <w:r>
              <w:rPr>
                <w:b/>
                <w:bCs/>
                <w:color w:val="000000"/>
                <w:lang w:val="ru-RU"/>
              </w:rPr>
              <w:t xml:space="preserve"> </w:t>
            </w:r>
            <w:r>
              <w:rPr>
                <w:b/>
                <w:bCs/>
                <w:color w:val="000000"/>
                <w:lang w:val="ru-RU"/>
              </w:rPr>
              <w:t xml:space="preserve">воєнізованої</w:t>
            </w:r>
            <w:r>
              <w:rPr>
                <w:b/>
                <w:bCs/>
                <w:color w:val="000000"/>
                <w:lang w:val="ru-RU"/>
              </w:rPr>
              <w:t xml:space="preserve"> </w:t>
            </w:r>
            <w:r>
              <w:rPr>
                <w:b/>
                <w:bCs/>
                <w:color w:val="000000"/>
                <w:lang w:val="ru-RU"/>
              </w:rPr>
              <w:t xml:space="preserve">охорони</w:t>
            </w:r>
            <w:r>
              <w:rPr>
                <w:b/>
                <w:bCs/>
                <w:color w:val="000000"/>
                <w:lang w:val="ru-RU"/>
              </w:rPr>
              <w:t xml:space="preserve"> (1 пост) (</w:t>
            </w:r>
            <w:r>
              <w:rPr>
                <w:b/>
                <w:bCs/>
                <w:color w:val="000000"/>
                <w:lang w:val="ru-RU"/>
              </w:rPr>
              <w:t xml:space="preserve">охорона</w:t>
            </w:r>
            <w:r>
              <w:rPr>
                <w:b/>
                <w:bCs/>
                <w:color w:val="000000"/>
                <w:lang w:val="ru-RU"/>
              </w:rPr>
              <w:t xml:space="preserve"> </w:t>
            </w:r>
            <w:r>
              <w:rPr>
                <w:b/>
                <w:bCs/>
                <w:color w:val="000000"/>
                <w:lang w:val="ru-RU"/>
              </w:rPr>
              <w:t xml:space="preserve">об'єкту</w:t>
            </w:r>
            <w:r>
              <w:rPr>
                <w:b/>
                <w:bCs/>
                <w:color w:val="000000"/>
                <w:lang w:val="ru-RU"/>
              </w:rPr>
              <w:t xml:space="preserve"> ДУ ЦІТ МВС </w:t>
            </w:r>
            <w:r>
              <w:rPr>
                <w:b/>
                <w:bCs/>
                <w:color w:val="000000"/>
                <w:lang w:val="ru-RU"/>
              </w:rPr>
              <w:t xml:space="preserve">України</w:t>
            </w:r>
            <w:r>
              <w:rPr>
                <w:b/>
                <w:bCs/>
                <w:color w:val="000000"/>
                <w:lang w:val="ru-RU"/>
              </w:rPr>
              <w:t xml:space="preserve">, </w:t>
            </w:r>
            <w:r>
              <w:rPr>
                <w:b/>
                <w:bCs/>
                <w:color w:val="000000"/>
                <w:lang w:val="ru-RU"/>
              </w:rPr>
              <w:t xml:space="preserve">розміщеного</w:t>
            </w:r>
            <w:r>
              <w:rPr>
                <w:b/>
                <w:bCs/>
                <w:color w:val="000000"/>
                <w:lang w:val="ru-RU"/>
              </w:rPr>
              <w:t xml:space="preserve"> за </w:t>
            </w:r>
            <w:r>
              <w:rPr>
                <w:b/>
                <w:bCs/>
                <w:color w:val="000000"/>
                <w:lang w:val="ru-RU"/>
              </w:rPr>
              <w:t xml:space="preserve">адресою</w:t>
            </w:r>
            <w:r>
              <w:rPr>
                <w:b/>
                <w:bCs/>
                <w:color w:val="000000"/>
                <w:lang w:val="ru-RU"/>
              </w:rPr>
              <w:t xml:space="preserve">: </w:t>
            </w:r>
            <w:r>
              <w:rPr>
                <w:b/>
                <w:bCs/>
                <w:color w:val="000000"/>
                <w:lang w:val="ru-RU"/>
              </w:rPr>
              <w:t xml:space="preserve">смт</w:t>
            </w:r>
            <w:r>
              <w:rPr>
                <w:b/>
                <w:bCs/>
                <w:color w:val="000000"/>
                <w:lang w:val="ru-RU"/>
              </w:rPr>
              <w:t xml:space="preserve">. </w:t>
            </w:r>
            <w:r>
              <w:rPr>
                <w:b/>
                <w:bCs/>
                <w:color w:val="000000"/>
                <w:lang w:val="ru-RU"/>
              </w:rPr>
              <w:t xml:space="preserve">Коцюбинське</w:t>
            </w:r>
            <w:r>
              <w:rPr>
                <w:b/>
                <w:bCs/>
                <w:color w:val="000000"/>
                <w:lang w:val="ru-RU"/>
              </w:rPr>
              <w:t xml:space="preserve">, </w:t>
            </w:r>
            <w:r>
              <w:rPr>
                <w:b/>
                <w:bCs/>
                <w:color w:val="000000"/>
                <w:lang w:val="ru-RU"/>
              </w:rPr>
              <w:t xml:space="preserve">вул</w:t>
            </w:r>
            <w:r>
              <w:rPr>
                <w:b/>
                <w:bCs/>
                <w:color w:val="000000"/>
                <w:lang w:val="ru-RU"/>
              </w:rPr>
              <w:t xml:space="preserve">. </w:t>
            </w:r>
            <w:r>
              <w:rPr>
                <w:b/>
                <w:bCs/>
                <w:color w:val="000000"/>
                <w:lang w:val="ru-RU"/>
              </w:rPr>
              <w:t xml:space="preserve">Залізнична</w:t>
            </w:r>
            <w:r>
              <w:rPr>
                <w:b/>
                <w:bCs/>
                <w:color w:val="000000"/>
                <w:lang w:val="ru-RU"/>
              </w:rPr>
              <w:t xml:space="preserve"> 7В)</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pStyle w:val="714"/>
              <w:jc w:val="center"/>
              <w:rPr>
                <w:lang w:val="ru-RU"/>
              </w:rPr>
            </w:pPr>
            <w:r>
              <w:rPr>
                <w:lang w:val="ru-RU"/>
              </w:rPr>
              <w:t xml:space="preserve">12</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14"/>
              <w:jc w:val="center"/>
              <w:rPr>
                <w:lang w:val="ru-RU"/>
              </w:rPr>
            </w:pPr>
            <w:r>
              <w:rPr>
                <w:b/>
                <w:bCs/>
                <w:color w:val="000000"/>
                <w:lang w:val="ru-RU"/>
              </w:rPr>
              <w:t xml:space="preserve">шт.</w:t>
            </w:r>
            <w:r/>
          </w:p>
        </w:tc>
      </w:tr>
    </w:tbl>
    <w:p>
      <w:pPr>
        <w:pStyle w:val="714"/>
        <w:jc w:val="both"/>
        <w:spacing w:after="0" w:line="240" w:lineRule="auto"/>
        <w:rPr>
          <w:rFonts w:eastAsia="Times New Roman"/>
          <w:b/>
          <w:bCs/>
          <w:i/>
          <w:iCs/>
          <w:lang w:eastAsia="ru-RU"/>
        </w:rPr>
      </w:pPr>
      <w:r>
        <w:rPr>
          <w:rFonts w:eastAsia="Times New Roman"/>
          <w:b/>
          <w:bCs/>
          <w:i/>
          <w:iCs/>
          <w:lang w:eastAsia="ru-RU"/>
        </w:rPr>
      </w:r>
      <w:r/>
    </w:p>
    <w:p>
      <w:pPr>
        <w:ind w:firstLine="708"/>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Запропоновані учасником послуги повинні відповідати діючим стандартам та наступним технічним вимогам:</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Основним завдання охорони є:</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ведення цілодобового спостереження за об’єктом, прилеглої до нього території особисто та за допомогою системи відеоспостереження встановленої на об’єкті;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забезпечення встановленого на об’єкті контрольно-перепускного режиму та припинення, в межах наданих законодавством України повноважень, порушень громадського порядку на об’єкті;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недопущення несанкціонованого проникнення сторонніх осіб на територію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контроль за переміщенням товарно- матеріальних цінностей на/з території об’єкта охорони;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адекватного реагування при виникненні позаштатних ситуацій;</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підтримання громадського порядку на території поста охорони та території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контроль за дотриманням заходів пожежної безпеки на об’єкті;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ведення службової документації щодо переміщення на об’єкті охорони;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виконання обов’язків у відповідності до Інструкції з охорони об’єкту;</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технічно грамотної експлуатації (застосування) засобів керування освітленням, воріт, засобів гасіння пожежі, іншого обладнання, дотримання встановлених норм пожежної безпеки та вимог санітарно-гігієнічних норм на посту охорони.</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учасника закупівлі.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Учасник закупівлі  має мати у своєму складі: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групу швидкого реагування на випадок виникнення надзвичайної ситуації на об’єкті, які знаходяться на цілодобовому чергуванні;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службовий автомобіль;</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ліхтарі;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формений одяг кожному з охоронців, яких планується залучити до охорони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спеціальні засоби активної оборони (бронежилети, гумові кийки ПР73, газові балончики з аерозолями дратівної дії Терен 4М).</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охоронців:</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вік від 18 років, представницький зовнішній вигляд;</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знання основ законодавчої бази, бути фізично підготовленими;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спостережливість напо</w:t>
      </w:r>
      <w:r>
        <w:rPr>
          <w:rFonts w:ascii="Times New Roman" w:hAnsi="Times New Roman" w:cs="Times New Roman"/>
          <w:bCs/>
          <w:sz w:val="24"/>
          <w:szCs w:val="24"/>
        </w:rPr>
        <w:t xml:space="preserve">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емоційно-вольова стійкість;</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знань та навичок роботи з приладами охоронної та протипожежної сигналізації, засобами для гасіння пожежі;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медичними протипоказаннями є захворювання нервової системи і опорно-рухового апарату, виражене зниження зору і слуху.</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Черговий охоронець зобов’язаний:</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постійно перебувати на пункті перепуску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буди охайно вдягнутим, у формений одяг з емблемою учасника закупівлі, мати при собі всі засоби активної оборони для охорони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пе</w:t>
      </w:r>
      <w:r>
        <w:rPr>
          <w:rFonts w:ascii="Times New Roman" w:hAnsi="Times New Roman" w:cs="Times New Roman"/>
          <w:bCs/>
          <w:sz w:val="24"/>
          <w:szCs w:val="24"/>
        </w:rPr>
        <w:t xml:space="preserve">ревіряти документи сторонніх осіб, які посвідчують особу, що прибула на об’єкт, при цьому звіряти відповідність фотографії на документі до особи, яка його пред’являє. Не допускати на об’єкт осіб, які знаходяться під впливом алкоголю чи наркотичних засобів;</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пропускати працівників, за посвідчення особи, контролювати роботу автоматизованої системи обмеження доступу до об’єкта;</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забезпечувати прийом та видачу ключів від службових приміщень працівникам;</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здійснювати пропуск відвідувачів після отримання оформленої разової перепустки;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перевіряти за матеріальною перепусткою (дорожнім листком, накладною) винесення (внесення) чи вивезення (ввезення) будь якого майна, що саме і в якій кількості (кількість місць) дозволено винести (</w:t>
      </w:r>
      <w:r>
        <w:rPr>
          <w:rFonts w:ascii="Times New Roman" w:hAnsi="Times New Roman" w:cs="Times New Roman"/>
          <w:bCs/>
          <w:sz w:val="24"/>
          <w:szCs w:val="24"/>
        </w:rPr>
        <w:t xml:space="preserve">внести</w:t>
      </w:r>
      <w:r>
        <w:rPr>
          <w:rFonts w:ascii="Times New Roman" w:hAnsi="Times New Roman" w:cs="Times New Roman"/>
          <w:bCs/>
          <w:sz w:val="24"/>
          <w:szCs w:val="24"/>
        </w:rPr>
        <w:t xml:space="preserve">) чи вивезти (ввезти);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не дозволяти виносити (вносити) чи вивозити (ввозити) будь яке майно з території (на територію) без відповідного дозволу;</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при зверненні до співробітників та відвідувачів бути ввічливим і тактовним;</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зачиняти вікна та двері, вимикати світло, закривати воду (за необхідністю).</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та якісні характеристики предмета закупівлі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Завдання та вимоги до учасників предмета закупівлі щодо надання охоронних послуг:</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охорони та забезпечення цілісності будівлі і матеріальних цінностей Державної установи «Центр інфраструктури та технологій Міністерства внутрішніх справ України» (далі – ДУ ЦІТ МВС України);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забезпечення пропускного режиму працівників та відвідувачів ДУ ЦІТ МВС України;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контроль за внесенням та винесенням (ввезенням та вивезенням) товарно-матеріальних цінностей з приміщень, що охороняються;</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у охоронців спецзасобів активної оборони (бронежилети, гумові кийки ПР73, газові балончики з аерозолями дратівної дії Терен 4М), форменого одягу відповідної пори року; </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забезпечення залучення до несення служби досвідчених працівників, які відповідають кваліфікаційним вимогам згідно встановлених Ліцензійних умов провадження господарської діяльності з надання послуг </w:t>
      </w:r>
      <w:r>
        <w:rPr>
          <w:rFonts w:ascii="Times New Roman" w:hAnsi="Times New Roman" w:cs="Times New Roman"/>
          <w:bCs/>
          <w:sz w:val="24"/>
          <w:szCs w:val="24"/>
        </w:rPr>
        <w:t xml:space="preserve">повязаних</w:t>
      </w:r>
      <w:r>
        <w:rPr>
          <w:rFonts w:ascii="Times New Roman" w:hAnsi="Times New Roman" w:cs="Times New Roman"/>
          <w:bCs/>
          <w:sz w:val="24"/>
          <w:szCs w:val="24"/>
        </w:rPr>
        <w:t xml:space="preserve"> з охороною державної та іншої власності;</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у в учасника діючого сертифікату відповідності (надається учасником в складі тендерної пропозиції), який підтверджує відповідність пункту централізованого спостереження вимогам Державних стандартів України, а саме ДСТУ </w:t>
      </w:r>
      <w:r>
        <w:rPr>
          <w:rFonts w:ascii="Times New Roman" w:hAnsi="Times New Roman" w:cs="Times New Roman"/>
          <w:bCs/>
          <w:sz w:val="24"/>
          <w:szCs w:val="24"/>
          <w:lang w:val="en-US"/>
        </w:rPr>
        <w:t xml:space="preserve">EN</w:t>
      </w:r>
      <w:r>
        <w:rPr>
          <w:rFonts w:ascii="Times New Roman" w:hAnsi="Times New Roman" w:cs="Times New Roman"/>
          <w:bCs/>
          <w:sz w:val="24"/>
          <w:szCs w:val="24"/>
        </w:rPr>
        <w:t xml:space="preserve"> 50518-1:2019, ДСТУ </w:t>
      </w:r>
      <w:r>
        <w:rPr>
          <w:rFonts w:ascii="Times New Roman" w:hAnsi="Times New Roman" w:cs="Times New Roman"/>
          <w:bCs/>
          <w:sz w:val="24"/>
          <w:szCs w:val="24"/>
          <w:lang w:val="en-US"/>
        </w:rPr>
        <w:t xml:space="preserve">EN</w:t>
      </w:r>
      <w:r>
        <w:rPr>
          <w:rFonts w:ascii="Times New Roman" w:hAnsi="Times New Roman" w:cs="Times New Roman"/>
          <w:bCs/>
          <w:sz w:val="24"/>
          <w:szCs w:val="24"/>
        </w:rPr>
        <w:t xml:space="preserve"> 50518-2:2019, ДСТУ </w:t>
      </w:r>
      <w:r>
        <w:rPr>
          <w:rFonts w:ascii="Times New Roman" w:hAnsi="Times New Roman" w:cs="Times New Roman"/>
          <w:bCs/>
          <w:sz w:val="24"/>
          <w:szCs w:val="24"/>
          <w:lang w:val="en-US"/>
        </w:rPr>
        <w:t xml:space="preserve">EN</w:t>
      </w:r>
      <w:r>
        <w:rPr>
          <w:rFonts w:ascii="Times New Roman" w:hAnsi="Times New Roman" w:cs="Times New Roman"/>
          <w:bCs/>
          <w:sz w:val="24"/>
          <w:szCs w:val="24"/>
        </w:rPr>
        <w:t xml:space="preserve"> 50518-3:2019, виданий відповідним органом з сертифікації, акредитованим національним органом України з акредитації;</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лист, що підтверджує досвід надання учасником послуг з організації охорони правопорядку та громадського порядку, не менше 3-х років;</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працівники учасника повинні мати визначені законодавством права та повноваження на озброєну охорону та застосування владних функцій щодо правопорушників. З метою пі</w:t>
      </w:r>
      <w:r>
        <w:rPr>
          <w:rFonts w:ascii="Times New Roman" w:hAnsi="Times New Roman" w:cs="Times New Roman"/>
          <w:bCs/>
          <w:sz w:val="24"/>
          <w:szCs w:val="24"/>
        </w:rPr>
        <w:t xml:space="preserve">дтвердження даної вимоги учасник в складі своєї пропозиції  надає не менше 10 копій свідоцтва про проходження охоронниками навчання у відповідному навчальному закладі, з присвоєнням (підвищенням) розряду охоронника не нижче 3-го (несення служби зі зброєю);</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наявність в учасника діючого спеціального дозволу на провадження діяльності, пов’язаної з державною таємницею, виданого Службою безпеки України (копія спеціального дозволу надається учасником в складі тендерної пропозиції).</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Режим надання послуг ДУ ЦІТ МВС України:</w:t>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Цілодобово 1 особа за </w:t>
      </w:r>
      <w:r>
        <w:rPr>
          <w:rFonts w:ascii="Times New Roman" w:hAnsi="Times New Roman" w:cs="Times New Roman"/>
          <w:b/>
          <w:sz w:val="24"/>
          <w:szCs w:val="24"/>
        </w:rPr>
        <w:t xml:space="preserve">адресою</w:t>
      </w:r>
      <w:r>
        <w:rPr>
          <w:rFonts w:ascii="Times New Roman" w:hAnsi="Times New Roman" w:cs="Times New Roman"/>
          <w:b/>
          <w:sz w:val="24"/>
          <w:szCs w:val="24"/>
        </w:rPr>
        <w:t xml:space="preserve">:</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 xml:space="preserve">вул. Залізнична, 7В смт. Коцюбинське, Бучанський район;</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1 411 091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один мільйон чотириста одинадцять тисяч дев’яносто одна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5"/>
  </w:num>
  <w:num w:numId="2">
    <w:abstractNumId w:val="14"/>
  </w:num>
  <w:num w:numId="3">
    <w:abstractNumId w:val="6"/>
  </w:num>
  <w:num w:numId="4">
    <w:abstractNumId w:val="20"/>
  </w:num>
  <w:num w:numId="5">
    <w:abstractNumId w:val="5"/>
  </w:num>
  <w:num w:numId="6">
    <w:abstractNumId w:val="26"/>
  </w:num>
  <w:num w:numId="7">
    <w:abstractNumId w:val="9"/>
  </w:num>
  <w:num w:numId="8">
    <w:abstractNumId w:val="28"/>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0"/>
  </w:num>
  <w:num w:numId="18">
    <w:abstractNumId w:val="29"/>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5"/>
  </w:num>
  <w:num w:numId="26">
    <w:abstractNumId w:val="18"/>
  </w:num>
  <w:num w:numId="27">
    <w:abstractNumId w:val="23"/>
  </w:num>
  <w:num w:numId="28">
    <w:abstractNumId w:val="16"/>
  </w:num>
  <w:num w:numId="29">
    <w:abstractNumId w:val="24"/>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05"/>
    <w:next w:val="70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07"/>
    <w:link w:val="12"/>
    <w:uiPriority w:val="9"/>
    <w:rPr>
      <w:rFonts w:ascii="Arial" w:hAnsi="Arial" w:eastAsia="Arial" w:cs="Arial"/>
      <w:sz w:val="40"/>
      <w:szCs w:val="40"/>
    </w:rPr>
  </w:style>
  <w:style w:type="character" w:styleId="15">
    <w:name w:val="Heading 2 Char"/>
    <w:basedOn w:val="707"/>
    <w:link w:val="706"/>
    <w:uiPriority w:val="9"/>
    <w:rPr>
      <w:rFonts w:ascii="Arial" w:hAnsi="Arial" w:eastAsia="Arial" w:cs="Arial"/>
      <w:sz w:val="34"/>
    </w:rPr>
  </w:style>
  <w:style w:type="paragraph" w:styleId="16">
    <w:name w:val="Heading 3"/>
    <w:basedOn w:val="705"/>
    <w:next w:val="70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07"/>
    <w:link w:val="16"/>
    <w:uiPriority w:val="9"/>
    <w:rPr>
      <w:rFonts w:ascii="Arial" w:hAnsi="Arial" w:eastAsia="Arial" w:cs="Arial"/>
      <w:sz w:val="30"/>
      <w:szCs w:val="30"/>
    </w:rPr>
  </w:style>
  <w:style w:type="paragraph" w:styleId="18">
    <w:name w:val="Heading 4"/>
    <w:basedOn w:val="705"/>
    <w:next w:val="70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07"/>
    <w:link w:val="18"/>
    <w:uiPriority w:val="9"/>
    <w:rPr>
      <w:rFonts w:ascii="Arial" w:hAnsi="Arial" w:eastAsia="Arial" w:cs="Arial"/>
      <w:b/>
      <w:bCs/>
      <w:sz w:val="26"/>
      <w:szCs w:val="26"/>
    </w:rPr>
  </w:style>
  <w:style w:type="paragraph" w:styleId="20">
    <w:name w:val="Heading 5"/>
    <w:basedOn w:val="705"/>
    <w:next w:val="70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7"/>
    <w:link w:val="20"/>
    <w:uiPriority w:val="9"/>
    <w:rPr>
      <w:rFonts w:ascii="Arial" w:hAnsi="Arial" w:eastAsia="Arial" w:cs="Arial"/>
      <w:b/>
      <w:bCs/>
      <w:sz w:val="24"/>
      <w:szCs w:val="24"/>
    </w:rPr>
  </w:style>
  <w:style w:type="paragraph" w:styleId="22">
    <w:name w:val="Heading 6"/>
    <w:basedOn w:val="705"/>
    <w:next w:val="70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7"/>
    <w:link w:val="22"/>
    <w:uiPriority w:val="9"/>
    <w:rPr>
      <w:rFonts w:ascii="Arial" w:hAnsi="Arial" w:eastAsia="Arial" w:cs="Arial"/>
      <w:b/>
      <w:bCs/>
      <w:sz w:val="22"/>
      <w:szCs w:val="22"/>
    </w:rPr>
  </w:style>
  <w:style w:type="paragraph" w:styleId="24">
    <w:name w:val="Heading 7"/>
    <w:basedOn w:val="705"/>
    <w:next w:val="70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7"/>
    <w:link w:val="24"/>
    <w:uiPriority w:val="9"/>
    <w:rPr>
      <w:rFonts w:ascii="Arial" w:hAnsi="Arial" w:eastAsia="Arial" w:cs="Arial"/>
      <w:b/>
      <w:bCs/>
      <w:i/>
      <w:iCs/>
      <w:sz w:val="22"/>
      <w:szCs w:val="22"/>
    </w:rPr>
  </w:style>
  <w:style w:type="paragraph" w:styleId="26">
    <w:name w:val="Heading 8"/>
    <w:basedOn w:val="705"/>
    <w:next w:val="70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7"/>
    <w:link w:val="26"/>
    <w:uiPriority w:val="9"/>
    <w:rPr>
      <w:rFonts w:ascii="Arial" w:hAnsi="Arial" w:eastAsia="Arial" w:cs="Arial"/>
      <w:i/>
      <w:iCs/>
      <w:sz w:val="22"/>
      <w:szCs w:val="22"/>
    </w:rPr>
  </w:style>
  <w:style w:type="paragraph" w:styleId="28">
    <w:name w:val="Heading 9"/>
    <w:basedOn w:val="705"/>
    <w:next w:val="70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7"/>
    <w:link w:val="28"/>
    <w:uiPriority w:val="9"/>
    <w:rPr>
      <w:rFonts w:ascii="Arial" w:hAnsi="Arial" w:eastAsia="Arial" w:cs="Arial"/>
      <w:i/>
      <w:iCs/>
      <w:sz w:val="21"/>
      <w:szCs w:val="21"/>
    </w:rPr>
  </w:style>
  <w:style w:type="paragraph" w:styleId="33">
    <w:name w:val="Title"/>
    <w:basedOn w:val="705"/>
    <w:next w:val="705"/>
    <w:link w:val="34"/>
    <w:uiPriority w:val="10"/>
    <w:qFormat/>
    <w:pPr>
      <w:contextualSpacing/>
      <w:spacing w:before="300" w:after="200"/>
    </w:pPr>
    <w:rPr>
      <w:sz w:val="48"/>
      <w:szCs w:val="48"/>
    </w:rPr>
  </w:style>
  <w:style w:type="character" w:styleId="34">
    <w:name w:val="Title Char"/>
    <w:basedOn w:val="707"/>
    <w:link w:val="33"/>
    <w:uiPriority w:val="10"/>
    <w:rPr>
      <w:sz w:val="48"/>
      <w:szCs w:val="48"/>
    </w:rPr>
  </w:style>
  <w:style w:type="paragraph" w:styleId="35">
    <w:name w:val="Subtitle"/>
    <w:basedOn w:val="705"/>
    <w:next w:val="705"/>
    <w:link w:val="36"/>
    <w:uiPriority w:val="11"/>
    <w:qFormat/>
    <w:pPr>
      <w:spacing w:before="200" w:after="200"/>
    </w:pPr>
    <w:rPr>
      <w:sz w:val="24"/>
      <w:szCs w:val="24"/>
    </w:rPr>
  </w:style>
  <w:style w:type="character" w:styleId="36">
    <w:name w:val="Subtitle Char"/>
    <w:basedOn w:val="707"/>
    <w:link w:val="35"/>
    <w:uiPriority w:val="11"/>
    <w:rPr>
      <w:sz w:val="24"/>
      <w:szCs w:val="24"/>
    </w:rPr>
  </w:style>
  <w:style w:type="paragraph" w:styleId="37">
    <w:name w:val="Quote"/>
    <w:basedOn w:val="705"/>
    <w:next w:val="705"/>
    <w:link w:val="38"/>
    <w:uiPriority w:val="29"/>
    <w:qFormat/>
    <w:pPr>
      <w:ind w:left="720" w:right="720"/>
    </w:pPr>
    <w:rPr>
      <w:i/>
    </w:rPr>
  </w:style>
  <w:style w:type="character" w:styleId="38">
    <w:name w:val="Quote Char"/>
    <w:link w:val="37"/>
    <w:uiPriority w:val="29"/>
    <w:rPr>
      <w:i/>
    </w:rPr>
  </w:style>
  <w:style w:type="paragraph" w:styleId="39">
    <w:name w:val="Intense Quote"/>
    <w:basedOn w:val="705"/>
    <w:next w:val="70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05"/>
    <w:link w:val="42"/>
    <w:uiPriority w:val="99"/>
    <w:unhideWhenUsed/>
    <w:pPr>
      <w:spacing w:after="0" w:line="240" w:lineRule="auto"/>
      <w:tabs>
        <w:tab w:val="center" w:pos="7143" w:leader="none"/>
        <w:tab w:val="right" w:pos="14287" w:leader="none"/>
      </w:tabs>
    </w:pPr>
  </w:style>
  <w:style w:type="character" w:styleId="42">
    <w:name w:val="Header Char"/>
    <w:basedOn w:val="707"/>
    <w:link w:val="41"/>
    <w:uiPriority w:val="99"/>
  </w:style>
  <w:style w:type="character" w:styleId="44">
    <w:name w:val="Footer Char"/>
    <w:basedOn w:val="707"/>
    <w:link w:val="716"/>
    <w:uiPriority w:val="99"/>
  </w:style>
  <w:style w:type="paragraph" w:styleId="45">
    <w:name w:val="Caption"/>
    <w:basedOn w:val="705"/>
    <w:next w:val="705"/>
    <w:uiPriority w:val="35"/>
    <w:semiHidden/>
    <w:unhideWhenUsed/>
    <w:qFormat/>
    <w:pPr>
      <w:spacing w:line="276" w:lineRule="auto"/>
    </w:pPr>
    <w:rPr>
      <w:b/>
      <w:bCs/>
      <w:color w:val="4f81bd" w:themeColor="accent1"/>
      <w:sz w:val="18"/>
      <w:szCs w:val="18"/>
    </w:rPr>
  </w:style>
  <w:style w:type="character" w:styleId="46">
    <w:name w:val="Caption Char"/>
    <w:basedOn w:val="45"/>
    <w:link w:val="716"/>
    <w:uiPriority w:val="99"/>
  </w:style>
  <w:style w:type="table" w:styleId="48">
    <w:name w:val="Table Grid Light"/>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0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7"/>
    <w:uiPriority w:val="99"/>
    <w:unhideWhenUsed/>
    <w:rPr>
      <w:vertAlign w:val="superscript"/>
    </w:rPr>
  </w:style>
  <w:style w:type="paragraph" w:styleId="177">
    <w:name w:val="endnote text"/>
    <w:basedOn w:val="70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7"/>
    <w:uiPriority w:val="99"/>
    <w:semiHidden/>
    <w:unhideWhenUsed/>
    <w:rPr>
      <w:vertAlign w:val="superscript"/>
    </w:rPr>
  </w:style>
  <w:style w:type="paragraph" w:styleId="180">
    <w:name w:val="toc 1"/>
    <w:basedOn w:val="705"/>
    <w:next w:val="705"/>
    <w:uiPriority w:val="39"/>
    <w:unhideWhenUsed/>
    <w:pPr>
      <w:ind w:left="0" w:right="0" w:firstLine="0"/>
      <w:spacing w:after="57"/>
    </w:pPr>
  </w:style>
  <w:style w:type="paragraph" w:styleId="181">
    <w:name w:val="toc 2"/>
    <w:basedOn w:val="705"/>
    <w:next w:val="705"/>
    <w:uiPriority w:val="39"/>
    <w:unhideWhenUsed/>
    <w:pPr>
      <w:ind w:left="283" w:right="0" w:firstLine="0"/>
      <w:spacing w:after="57"/>
    </w:pPr>
  </w:style>
  <w:style w:type="paragraph" w:styleId="182">
    <w:name w:val="toc 3"/>
    <w:basedOn w:val="705"/>
    <w:next w:val="705"/>
    <w:uiPriority w:val="39"/>
    <w:unhideWhenUsed/>
    <w:pPr>
      <w:ind w:left="567" w:right="0" w:firstLine="0"/>
      <w:spacing w:after="57"/>
    </w:pPr>
  </w:style>
  <w:style w:type="paragraph" w:styleId="183">
    <w:name w:val="toc 4"/>
    <w:basedOn w:val="705"/>
    <w:next w:val="705"/>
    <w:uiPriority w:val="39"/>
    <w:unhideWhenUsed/>
    <w:pPr>
      <w:ind w:left="850" w:right="0" w:firstLine="0"/>
      <w:spacing w:after="57"/>
    </w:pPr>
  </w:style>
  <w:style w:type="paragraph" w:styleId="184">
    <w:name w:val="toc 5"/>
    <w:basedOn w:val="705"/>
    <w:next w:val="705"/>
    <w:uiPriority w:val="39"/>
    <w:unhideWhenUsed/>
    <w:pPr>
      <w:ind w:left="1134" w:right="0" w:firstLine="0"/>
      <w:spacing w:after="57"/>
    </w:pPr>
  </w:style>
  <w:style w:type="paragraph" w:styleId="185">
    <w:name w:val="toc 6"/>
    <w:basedOn w:val="705"/>
    <w:next w:val="705"/>
    <w:uiPriority w:val="39"/>
    <w:unhideWhenUsed/>
    <w:pPr>
      <w:ind w:left="1417" w:right="0" w:firstLine="0"/>
      <w:spacing w:after="57"/>
    </w:pPr>
  </w:style>
  <w:style w:type="paragraph" w:styleId="186">
    <w:name w:val="toc 7"/>
    <w:basedOn w:val="705"/>
    <w:next w:val="705"/>
    <w:uiPriority w:val="39"/>
    <w:unhideWhenUsed/>
    <w:pPr>
      <w:ind w:left="1701" w:right="0" w:firstLine="0"/>
      <w:spacing w:after="57"/>
    </w:pPr>
  </w:style>
  <w:style w:type="paragraph" w:styleId="187">
    <w:name w:val="toc 8"/>
    <w:basedOn w:val="705"/>
    <w:next w:val="705"/>
    <w:uiPriority w:val="39"/>
    <w:unhideWhenUsed/>
    <w:pPr>
      <w:ind w:left="1984" w:right="0" w:firstLine="0"/>
      <w:spacing w:after="57"/>
    </w:pPr>
  </w:style>
  <w:style w:type="paragraph" w:styleId="188">
    <w:name w:val="toc 9"/>
    <w:basedOn w:val="705"/>
    <w:next w:val="70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05"/>
    <w:next w:val="705"/>
    <w:uiPriority w:val="99"/>
    <w:unhideWhenUsed/>
    <w:pPr>
      <w:spacing w:after="0" w:afterAutospacing="0"/>
    </w:pPr>
  </w:style>
  <w:style w:type="paragraph" w:styleId="705" w:default="1">
    <w:name w:val="Normal"/>
    <w:qFormat/>
    <w:rPr>
      <w:lang w:val="uk-UA"/>
    </w:rPr>
  </w:style>
  <w:style w:type="paragraph" w:styleId="706">
    <w:name w:val="Heading 2"/>
    <w:basedOn w:val="705"/>
    <w:link w:val="72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07" w:default="1">
    <w:name w:val="Default Paragraph Font"/>
    <w:uiPriority w:val="1"/>
    <w:semiHidden/>
    <w:unhideWhenUsed/>
  </w:style>
  <w:style w:type="table" w:styleId="708" w:default="1">
    <w:name w:val="Normal Table"/>
    <w:uiPriority w:val="99"/>
    <w:semiHidden/>
    <w:unhideWhenUsed/>
    <w:tblPr>
      <w:tblInd w:w="0" w:type="dxa"/>
      <w:tblCellMar>
        <w:left w:w="108" w:type="dxa"/>
        <w:top w:w="0" w:type="dxa"/>
        <w:right w:w="108" w:type="dxa"/>
        <w:bottom w:w="0" w:type="dxa"/>
      </w:tblCellMar>
    </w:tblPr>
  </w:style>
  <w:style w:type="numbering" w:styleId="709" w:default="1">
    <w:name w:val="No List"/>
    <w:uiPriority w:val="99"/>
    <w:semiHidden/>
    <w:unhideWhenUsed/>
  </w:style>
  <w:style w:type="paragraph" w:styleId="710">
    <w:name w:val="List Paragraph"/>
    <w:basedOn w:val="705"/>
    <w:link w:val="711"/>
    <w:uiPriority w:val="34"/>
    <w:qFormat/>
    <w:pPr>
      <w:contextualSpacing/>
      <w:ind w:left="720"/>
      <w:spacing w:after="200" w:line="276" w:lineRule="auto"/>
    </w:pPr>
    <w:rPr>
      <w:rFonts w:ascii="Calibri" w:hAnsi="Calibri" w:eastAsia="Calibri" w:cs="Calibri"/>
      <w:lang w:val="ru-RU" w:eastAsia="zh-CN"/>
    </w:rPr>
  </w:style>
  <w:style w:type="character" w:styleId="711" w:customStyle="1">
    <w:name w:val="Абзац списку Знак"/>
    <w:link w:val="710"/>
    <w:uiPriority w:val="34"/>
    <w:qFormat/>
    <w:rPr>
      <w:rFonts w:ascii="Calibri" w:hAnsi="Calibri" w:eastAsia="Calibri" w:cs="Calibri"/>
      <w:lang w:eastAsia="zh-CN"/>
    </w:rPr>
  </w:style>
  <w:style w:type="table" w:styleId="712">
    <w:name w:val="Table Grid"/>
    <w:basedOn w:val="7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3" w:customStyle="1">
    <w:name w:val="Сетка таблицы2"/>
    <w:basedOn w:val="708"/>
    <w:next w:val="71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4">
    <w:name w:val="Normal (Web)"/>
    <w:basedOn w:val="705"/>
    <w:link w:val="721"/>
    <w:unhideWhenUsed/>
    <w:qFormat/>
    <w:rPr>
      <w:rFonts w:ascii="Times New Roman" w:hAnsi="Times New Roman" w:cs="Times New Roman"/>
      <w:sz w:val="24"/>
      <w:szCs w:val="24"/>
    </w:rPr>
  </w:style>
  <w:style w:type="table" w:styleId="715" w:customStyle="1">
    <w:name w:val="Сетка таблицы1"/>
    <w:basedOn w:val="708"/>
    <w:next w:val="71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6">
    <w:name w:val="Footer"/>
    <w:basedOn w:val="705"/>
    <w:link w:val="71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7" w:customStyle="1">
    <w:name w:val="Нижній колонтитул Знак"/>
    <w:basedOn w:val="707"/>
    <w:link w:val="716"/>
    <w:uiPriority w:val="99"/>
    <w:rPr>
      <w:rFonts w:ascii="Calibri" w:hAnsi="Calibri" w:eastAsia="Calibri" w:cs="Calibri"/>
      <w:lang w:eastAsia="zh-CN"/>
    </w:rPr>
  </w:style>
  <w:style w:type="paragraph" w:styleId="71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9">
    <w:name w:val="Hyperlink"/>
    <w:basedOn w:val="707"/>
    <w:uiPriority w:val="99"/>
    <w:unhideWhenUsed/>
    <w:rPr>
      <w:color w:val="0563c1" w:themeColor="hyperlink"/>
      <w:u w:val="single"/>
    </w:rPr>
  </w:style>
  <w:style w:type="character" w:styleId="720" w:customStyle="1">
    <w:name w:val="xfm_93972720"/>
    <w:basedOn w:val="707"/>
  </w:style>
  <w:style w:type="character" w:styleId="721" w:customStyle="1">
    <w:name w:val="Звичайний (веб) Знак"/>
    <w:link w:val="714"/>
    <w:qFormat/>
    <w:rPr>
      <w:rFonts w:ascii="Times New Roman" w:hAnsi="Times New Roman" w:cs="Times New Roman"/>
      <w:sz w:val="24"/>
      <w:szCs w:val="24"/>
      <w:lang w:val="uk-UA"/>
    </w:rPr>
  </w:style>
  <w:style w:type="paragraph" w:styleId="722">
    <w:name w:val="Body Text 2"/>
    <w:basedOn w:val="705"/>
    <w:link w:val="723"/>
    <w:pPr>
      <w:spacing w:after="0" w:line="240" w:lineRule="auto"/>
    </w:pPr>
    <w:rPr>
      <w:rFonts w:ascii="Times New Roman" w:hAnsi="Times New Roman" w:eastAsia="Times New Roman" w:cs="Times New Roman"/>
      <w:sz w:val="28"/>
      <w:szCs w:val="20"/>
      <w:lang w:val="ru-RU" w:eastAsia="ru-RU"/>
    </w:rPr>
  </w:style>
  <w:style w:type="character" w:styleId="723" w:customStyle="1">
    <w:name w:val="Основний текст 2 Знак"/>
    <w:basedOn w:val="707"/>
    <w:link w:val="722"/>
    <w:rPr>
      <w:rFonts w:ascii="Times New Roman" w:hAnsi="Times New Roman" w:eastAsia="Times New Roman" w:cs="Times New Roman"/>
      <w:sz w:val="28"/>
      <w:szCs w:val="20"/>
      <w:lang w:eastAsia="ru-RU"/>
    </w:rPr>
  </w:style>
  <w:style w:type="paragraph" w:styleId="72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5" w:customStyle="1">
    <w:name w:val="Заголовок 2 Знак"/>
    <w:basedOn w:val="707"/>
    <w:link w:val="706"/>
    <w:uiPriority w:val="9"/>
    <w:rPr>
      <w:rFonts w:ascii="Times New Roman" w:hAnsi="Times New Roman" w:eastAsia="Times New Roman" w:cs="Times New Roman"/>
      <w:b/>
      <w:bCs/>
      <w:sz w:val="36"/>
      <w:szCs w:val="36"/>
      <w:lang w:val="uk-UA" w:eastAsia="uk-UA"/>
    </w:rPr>
  </w:style>
  <w:style w:type="paragraph" w:styleId="726">
    <w:name w:val="No Spacing"/>
    <w:link w:val="727"/>
    <w:uiPriority w:val="1"/>
    <w:qFormat/>
    <w:pPr>
      <w:spacing w:after="0" w:line="240" w:lineRule="auto"/>
    </w:pPr>
    <w:rPr>
      <w:rFonts w:ascii="Calibri" w:hAnsi="Calibri" w:eastAsia="Calibri" w:cs="Times New Roman"/>
      <w:lang w:val="uk-UA"/>
    </w:rPr>
  </w:style>
  <w:style w:type="character" w:styleId="727" w:customStyle="1">
    <w:name w:val="Без інтервалів Знак"/>
    <w:basedOn w:val="707"/>
    <w:link w:val="726"/>
    <w:uiPriority w:val="1"/>
    <w:rPr>
      <w:rFonts w:ascii="Calibri" w:hAnsi="Calibri" w:eastAsia="Calibri" w:cs="Times New Roman"/>
      <w:lang w:val="uk-UA"/>
    </w:rPr>
  </w:style>
  <w:style w:type="character" w:styleId="728" w:customStyle="1">
    <w:name w:val="Другое_"/>
    <w:basedOn w:val="707"/>
    <w:link w:val="729"/>
    <w:rPr>
      <w:rFonts w:ascii="Calibri" w:hAnsi="Calibri" w:eastAsia="Calibri" w:cs="Calibri"/>
      <w:sz w:val="20"/>
      <w:szCs w:val="20"/>
    </w:rPr>
  </w:style>
  <w:style w:type="paragraph" w:styleId="729" w:customStyle="1">
    <w:name w:val="Другое"/>
    <w:basedOn w:val="705"/>
    <w:link w:val="728"/>
    <w:qFormat/>
    <w:pPr>
      <w:spacing w:after="0" w:line="240" w:lineRule="auto"/>
      <w:widowControl w:val="off"/>
    </w:pPr>
    <w:rPr>
      <w:rFonts w:ascii="Calibri" w:hAnsi="Calibri" w:eastAsia="Calibri" w:cs="Calibri"/>
      <w:sz w:val="20"/>
      <w:szCs w:val="20"/>
      <w:lang w:val="ru-RU"/>
    </w:rPr>
  </w:style>
  <w:style w:type="paragraph" w:styleId="73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31" w:customStyle="1">
    <w:name w:val="Основной текст (2)_"/>
    <w:basedOn w:val="707"/>
    <w:link w:val="732"/>
    <w:rPr>
      <w:rFonts w:eastAsia="Times New Roman" w:cs="Times New Roman"/>
      <w:shd w:val="clear" w:color="auto" w:fill="ffffff"/>
    </w:rPr>
  </w:style>
  <w:style w:type="paragraph" w:styleId="732" w:customStyle="1">
    <w:name w:val="Основной текст (2)"/>
    <w:basedOn w:val="705"/>
    <w:link w:val="731"/>
    <w:pPr>
      <w:ind w:hanging="700"/>
      <w:jc w:val="both"/>
      <w:spacing w:before="240" w:after="480" w:line="0" w:lineRule="atLeast"/>
      <w:shd w:val="clear" w:color="auto" w:fill="ffffff"/>
      <w:widowControl w:val="off"/>
    </w:pPr>
    <w:rPr>
      <w:rFonts w:eastAsia="Times New Roman" w:cs="Times New Roman"/>
      <w:lang w:val="ru-RU"/>
    </w:rPr>
  </w:style>
  <w:style w:type="character" w:styleId="733" w:customStyle="1">
    <w:name w:val="Текст у виносці Знак"/>
    <w:basedOn w:val="707"/>
    <w:link w:val="734"/>
    <w:uiPriority w:val="99"/>
    <w:semiHidden/>
    <w:rPr>
      <w:rFonts w:ascii="Segoe UI" w:hAnsi="Segoe UI" w:eastAsia="Times New Roman" w:cs="Segoe UI"/>
      <w:sz w:val="18"/>
      <w:szCs w:val="18"/>
      <w:lang w:eastAsia="ru-RU"/>
    </w:rPr>
  </w:style>
  <w:style w:type="paragraph" w:styleId="734">
    <w:name w:val="Balloon Text"/>
    <w:basedOn w:val="705"/>
    <w:link w:val="73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35" w:customStyle="1">
    <w:name w:val="Текст у виносці Знак1"/>
    <w:basedOn w:val="707"/>
    <w:uiPriority w:val="99"/>
    <w:semiHidden/>
    <w:rPr>
      <w:rFonts w:ascii="Segoe UI" w:hAnsi="Segoe UI" w:cs="Segoe UI"/>
      <w:sz w:val="18"/>
      <w:szCs w:val="18"/>
      <w:lang w:val="uk-UA"/>
    </w:rPr>
  </w:style>
  <w:style w:type="character" w:styleId="736" w:customStyle="1">
    <w:name w:val="T23"/>
    <w:rPr>
      <w:rFonts w:hint="default" w:ascii="Times New Roman" w:hAnsi="Times New Roman" w:eastAsia="Times New Roman1" w:cs="Times New Roman"/>
    </w:rPr>
  </w:style>
  <w:style w:type="paragraph" w:styleId="737" w:customStyle="1">
    <w:name w:val="Абзац списку1"/>
    <w:basedOn w:val="70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8" w:customStyle="1">
    <w:name w:val="markedcontent"/>
    <w:basedOn w:val="707"/>
  </w:style>
  <w:style w:type="paragraph" w:styleId="739">
    <w:name w:val="annotation text"/>
    <w:basedOn w:val="705"/>
    <w:link w:val="74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40" w:customStyle="1">
    <w:name w:val="Текст примітки Знак"/>
    <w:basedOn w:val="707"/>
    <w:link w:val="739"/>
    <w:uiPriority w:val="99"/>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dzo.com.ua/tenders/17227183"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145</cp:revision>
  <dcterms:created xsi:type="dcterms:W3CDTF">2022-11-01T12:47:00Z</dcterms:created>
  <dcterms:modified xsi:type="dcterms:W3CDTF">2023-12-20T11:53:20Z</dcterms:modified>
</cp:coreProperties>
</file>