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фітодизайну</w:t>
      </w:r>
      <w:r>
        <w:rPr>
          <w:b w:val="0"/>
          <w:bCs w:val="0"/>
          <w:spacing w:val="1"/>
          <w:sz w:val="24"/>
          <w:szCs w:val="24"/>
        </w:rPr>
        <w:t xml:space="preserve"> за код ДК 021: 2015 </w:t>
      </w:r>
      <w:r>
        <w:rPr>
          <w:b w:val="0"/>
          <w:bCs w:val="0"/>
          <w:sz w:val="24"/>
          <w:szCs w:val="24"/>
        </w:rPr>
        <w:t xml:space="preserve">77310000-6 «Послуги з озеленення територій та утримання зелених насаджень»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5581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Послуги фітодизайну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36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Фікус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Гінсенг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Заміокулькас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Сансев'єрія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Пальма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Хамедорея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Фікус Бенджаміна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(140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 см)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Фікус Бенджаміна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(1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 см)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Стрелітція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Миколай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Сансев’єрія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Циліндрична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Перелік рослин у горщиках щодо яких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проводиться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обслуговування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/>
    </w:p>
    <w:tbl>
      <w:tblPr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0"/>
        <w:gridCol w:w="5563"/>
        <w:gridCol w:w="1613"/>
        <w:gridCol w:w="1444"/>
      </w:tblGrid>
      <w:tr>
        <w:trPr>
          <w:cantSplit/>
          <w:jc w:val="center"/>
          <w:trHeight w:val="26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452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рослини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45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Висота,</w:t>
            </w:r>
            <w:r/>
          </w:p>
          <w:p>
            <w:pPr>
              <w:jc w:val="center"/>
              <w:spacing w:after="0" w:line="240" w:lineRule="auto"/>
              <w:tabs>
                <w:tab w:val="left" w:pos="545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45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tabs>
                <w:tab w:val="left" w:pos="545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</w:tr>
      <w:tr>
        <w:trPr>
          <w:cantSplit/>
          <w:jc w:val="center"/>
          <w:trHeight w:val="7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Гінсенг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Заміокулькас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Сансев'єрія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Хамедорея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Фікус Бенджаміна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Фікус Бенджаміна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Стрелітція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Сансев’єрія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Циліндрична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</w:tbl>
    <w:p>
      <w:pPr>
        <w:spacing w:after="0" w:line="240" w:lineRule="auto"/>
        <w:tabs>
          <w:tab w:val="left" w:pos="14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 w:eastAsia="ru-RU"/>
        </w:rPr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Перелік надання послуг з 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рослин у горщиках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475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280"/>
        <w:gridCol w:w="1060"/>
        <w:gridCol w:w="1189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рослин, що підлягають обслуговуванню\найменування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left="-109" w:right="-108" w:firstLine="133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Фікус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Гінсенг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Заміокулькас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Сансев'єрія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Пальма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Хамедорея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Фікус Бенджаміна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(140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 см)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Фікус Бенджаміна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(1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 см)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Стрелітція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Миколай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Комплексне обслуговування рослини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Сансев’єрія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Циліндрична 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 огляд під час відвідування спеціалістом з метою своєчасного виявлення несприятливих ознак стану рослини.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Індивідуальний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диференційовании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̆ полив.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видалення пилу з листя.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Нанесення на листя спеціального блиску.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Проведення профілактичних та оздоровчих заходів щодо покращення стану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ґрунтоґрунту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Обробка рослини від шкідників та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хвороб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 профілактичних та винищувальних цілях.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Пересадка при необхідності з перевіркою кореневої̈ системи.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Профілактичні обробки спеціальними регулюючими, стимулюючими та антистресовими препаратами.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Кореневе та позакореневе підживлення мінеральними та органічними добривами.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Санітарне обрізання та індивідуальне формування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Лікування рослини до повного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її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одужання.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Розпушування, підсипка та заміна верхнього шару ґрунту, мульчування при необхідності.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Встановлення опор та підв'язка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Видалення солей жорсткості з поверхні ґрунту.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Миття та протирання кашпо.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Регулярний̆ контроль за станом рослини.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Заміна рослини на аналогічну (такої ж назви, віку та розміру), у разі втрати останньої внаслідок обслуговування.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39 333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дев’ять тисяч триста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130</cp:revision>
  <dcterms:created xsi:type="dcterms:W3CDTF">2022-11-01T12:47:00Z</dcterms:created>
  <dcterms:modified xsi:type="dcterms:W3CDTF">2023-07-27T07:17:28Z</dcterms:modified>
</cp:coreProperties>
</file>