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Апаратний комплекс для візуалізації за ДК 021:2015: 30230000-0 Комп’ютерне обладнання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0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005845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Апаратний комплекс для візуалізації</w:t>
      </w:r>
      <w:r>
        <w:rPr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Апаратний комплекс для візуалізації 2х2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Апаратний комплекс для візуалізації 3х3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</w:tbl>
    <w:p>
      <w:pPr>
        <w:pStyle w:val="6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456"/>
        <w:gridCol w:w="3367"/>
        <w:gridCol w:w="3197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Апаратний комплекс для візуалізації 2х2 (сервер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дисплеї),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ніж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Кількість потоків: не менше ніж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Обсяг кеш-пам’яті: не менше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Базова тактова частота процесора: не менше 2,90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4,80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GHz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C252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 16Gb DDR4 3200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ECC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SSD - не менше ніж 500GB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M.2 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T1000 4Gb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додаткових перехідників-адаптерів у комплекті поставки.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RAID не гірше 0, 1, 5,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Порти вводу\виводу: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порт VGA;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порти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® I210AT + 1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порти USB 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 – 6шт;  M.2 - 1шт;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корпусу: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монтуємий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стійку з висотою не більше 2U                                          Блок живлення: потужністю не менше 500 Вт, з енергоефективністю не менше 85%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 панель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діагоналі: Не менше ніж 55”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панелі: Не гірше ніж IPS або еквівалент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Роздільна здатність: Не гірше ніж 1920 x 1080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огляду дисплея по горизонталі та вертикалі: Не гірше ніж 178 градусів.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Яскравість: Не гірше ніж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/м2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Контрастність: Не гірше ніж 4000:1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відгуку: Не гірше ніж 8 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Вхідні порти: Не менше ніж 2 x HDMI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x RS232, 1 x 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Вихідні порти: Не менше ніж 1 x HDMI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x RS232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Кріплення: В комплекті, настінне, з можливістю розміщення панелей у форматі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х 2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Енергоспоживання: не більше 205Вт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відеопанелей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комплект (клавіатура + миша);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клавіш клавіатури: не менше ніж 101, з окремим блоком для набору цифр;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 миші – оптична;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кнопок миші - щонайменше 3: ліва, права, колесо-кнопка для скролінг;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підключення: дротовий;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 комунікації з ПК: USB.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gridSpan w:val="3"/>
            <w:tcW w:w="58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менше ніж 36 місяців</w:t>
            </w:r>
            <w:r/>
          </w:p>
        </w:tc>
      </w:tr>
      <w:tr>
        <w:trPr>
          <w:trHeight w:val="263"/>
        </w:trPr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Апаратний комплекс для візуалізації 3х3 (сервер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дисплеї),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ніж 8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потоків: не менше ніж 16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Обсяг кеш-пам’яті: не менше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 тактова частота процесора: не менше 3,80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GHz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тактова частота  в режимі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4,70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GHz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 AMD X470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 32Gb DDR4 2666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ECC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 SSD - не менше ніж 500GB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T1000 4Gb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відеоадаптерів -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Наявність додаткових перехідників-адаптерів у комплекті поставки.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RAID не гірше 0, 1, 10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Порти вводу\виводу: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порт VGA;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порт COM;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порти RJ45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Gigabit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 порт RJ45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Dedicated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IPMI LANLAN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 (ACT/LINK LED та SPEED LED)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порти USB 3.2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на задній панелі системного блоку;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 порти: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 – 6шт; M.2 - 2шт;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корпусу: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монтуємий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стійку з висотою не більше 2U                                          Блок живлення: потужністю не менше 600 Вт, з енергоефективністю не менше 85%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 панель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діагоналі: Не менше ніж 55”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панелі: Не гірше ніж IPS або еквівалент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Роздільна здатність: Не гірше ніж 1920 x 1080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огляду дисплея по горизонталі та вертикалі: Не гірше ніж 178 градусів.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Яскравість: Не гірше ніж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/м2 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Контрастність: Не гірше ніж 4000:1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відгуку: Не гірше ніж 8 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Вхідні порти: Не менше ніж 2 x HDMI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x RS232, 1 x 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Вихідні порти: Не менше ніж 1 x HDMI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x RS232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Кріплення: В комплекті, настінне, з можливістю розміщення панелей у форматі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х 3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Енергоспоживання: не більше 205Вт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відеопанелей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комплект (клавіатура + миша);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клавіш клавіатури: не менше ніж 101, з окремим блоком для набору цифр;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 миші – оптична;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кнопок миші - щонайменше 3: ліва, права, колесо-кнопка для скролінг;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підключення: дротовий;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 комунікації з ПК: USB.</w:t>
            </w:r>
            <w:r/>
          </w:p>
        </w:tc>
      </w:tr>
      <w:tr>
        <w:trPr/>
        <w:tc>
          <w:tcPr>
            <w:gridSpan w:val="2"/>
            <w:tcW w:w="3823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Гарантія</w:t>
            </w:r>
            <w:r/>
          </w:p>
        </w:tc>
        <w:tc>
          <w:tcPr>
            <w:gridSpan w:val="3"/>
            <w:tcW w:w="581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менше ніж 36 місяців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Вимоги до предмету закупівлі </w:t>
      </w:r>
      <w:r>
        <w:rPr>
          <w:rFonts w:ascii="Times New Roman" w:hAnsi="Times New Roman" w:cs="Times New Roman"/>
          <w:sz w:val="24"/>
          <w:szCs w:val="24"/>
        </w:rPr>
        <w:t xml:space="preserve">(надати завірені копії підтверджуючих документів)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Сервери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відеостін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мають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бути продуктом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має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власне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сертифіковане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за стандартами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виробництво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–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копію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відповідних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/>
    </w:p>
    <w:p>
      <w:pPr>
        <w:pStyle w:val="682"/>
        <w:ind w:left="6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регламенту з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16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2015 р. № 1077;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16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2015 р. № 1067.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10.03.2017).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ДСТУ ISO 9001:2018; 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систему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керування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ДСТУ ISO 14001:2015; 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інформаційної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ISO/IEC 27001:2013.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Сертифікату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системи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менеджменту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охорони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здоров'я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безпеки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праці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Вимоги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настанови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щодо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застосовування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ISO 45001:2018.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Копію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чинного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висновку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державної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санітарно-епідеміологічної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експертизи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Якщо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не є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предметів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сервери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), 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лист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або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його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дистриб'ютора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представницькі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партнерські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дилерські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агентські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дистриб’юторські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тощо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повноваження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Лист повинен бути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адресований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або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містити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інформацію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посиланням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номер і дату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оприлюднення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оголошення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веб-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порталі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Уповноваженого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органу,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Товару.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 документах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містять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опис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додаються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якісним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кількісним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іншим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характеристикам), повинен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чітко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вказати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продуктів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будуть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запропоновані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задоволення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вимог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документації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бути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вказані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ступенем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деталізації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достатнім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внесення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специфікацій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договір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закупівлю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також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виконання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самого договору.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яких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буде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серверів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час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серверів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при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поставці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вказанням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назви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їх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серійні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номери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 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5.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надає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порівняльну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таблицю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/>
    </w:p>
    <w:p>
      <w:pPr>
        <w:pStyle w:val="682"/>
        <w:ind w:left="6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надання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листа (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або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інших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від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іноземною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мовою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цей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лист повинен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супроводжуватись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перекладом на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українську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мову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;</w:t>
      </w:r>
      <w:r/>
    </w:p>
    <w:p>
      <w:pPr>
        <w:pStyle w:val="682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Авторизаційні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листи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бути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адресовані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із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обов’язковим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та номеру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</w:t>
      </w:r>
      <w:r/>
    </w:p>
    <w:p>
      <w:pPr>
        <w:ind w:left="6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Учасник забезпечує поставку товару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 Замовника. Вартість товару включає всі витрати Учасника, пов’язані з його доставкою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 xml:space="preserve">овника, інсталяцію та введення в експлуатацію      пропонованого обладнання. Затрати на транспортування до місця поставки, навантаження, розвантаження та страхування товару несе Учасник. (надати гарантійний лист від учасника у складі тендерної пропозиції).</w:t>
      </w:r>
      <w:r/>
    </w:p>
    <w:p>
      <w:pPr>
        <w:ind w:left="6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Упаковка запропонованого Учасником товару повинна відповідати стандартам фірми</w:t>
      </w:r>
      <w:r>
        <w:rPr>
          <w:rFonts w:ascii="Times New Roman" w:hAnsi="Times New Roman" w:cs="Times New Roman"/>
          <w:sz w:val="24"/>
          <w:szCs w:val="24"/>
        </w:rPr>
        <w:t xml:space="preserve">-виробника, встановленим для даного виду товару і захищати його від пошкоджень або псування під час перевезення (доставки). Упаковка не повинна мати недоліки за якістю, пошкоджень. Не повинно бути помилок друку або ознак розкриття і повторного пакування). </w:t>
      </w:r>
      <w:r/>
    </w:p>
    <w:p>
      <w:pPr>
        <w:ind w:left="6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Всі витрати (податки, збори, транспортні на страхування та інші), що несе Учасник у зв’язку з поставкою, включаються до ціни пропозиції.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3 737 228,00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мільйони сімсот тридцять сім тисяч двісті двадцять вісім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9"/>
    <w:link w:val="42"/>
    <w:uiPriority w:val="99"/>
  </w:style>
  <w:style w:type="character" w:styleId="45">
    <w:name w:val="Footer Char"/>
    <w:basedOn w:val="679"/>
    <w:link w:val="688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1"/>
    <w:basedOn w:val="676"/>
    <w:next w:val="676"/>
    <w:link w:val="703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678">
    <w:name w:val="Heading 2"/>
    <w:basedOn w:val="676"/>
    <w:link w:val="69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List Paragraph"/>
    <w:basedOn w:val="676"/>
    <w:link w:val="6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3" w:customStyle="1">
    <w:name w:val="Абзац списку Знак"/>
    <w:link w:val="682"/>
    <w:uiPriority w:val="34"/>
    <w:rPr>
      <w:rFonts w:ascii="Calibri" w:hAnsi="Calibri" w:eastAsia="Calibri" w:cs="Calibri"/>
      <w:lang w:eastAsia="zh-CN"/>
    </w:rPr>
  </w:style>
  <w:style w:type="table" w:styleId="684">
    <w:name w:val="Table Grid"/>
    <w:basedOn w:val="68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5" w:customStyle="1">
    <w:name w:val="Сетка таблицы2"/>
    <w:basedOn w:val="680"/>
    <w:next w:val="68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Normal (Web)"/>
    <w:basedOn w:val="676"/>
    <w:link w:val="693"/>
    <w:unhideWhenUsed/>
    <w:qFormat/>
    <w:rPr>
      <w:rFonts w:ascii="Times New Roman" w:hAnsi="Times New Roman" w:cs="Times New Roman"/>
      <w:sz w:val="24"/>
      <w:szCs w:val="24"/>
    </w:rPr>
  </w:style>
  <w:style w:type="table" w:styleId="687" w:customStyle="1">
    <w:name w:val="Сетка таблицы1"/>
    <w:basedOn w:val="680"/>
    <w:next w:val="68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Footer"/>
    <w:basedOn w:val="676"/>
    <w:link w:val="68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9" w:customStyle="1">
    <w:name w:val="Нижній колонтитул Знак"/>
    <w:basedOn w:val="679"/>
    <w:link w:val="688"/>
    <w:uiPriority w:val="99"/>
    <w:rPr>
      <w:rFonts w:ascii="Calibri" w:hAnsi="Calibri" w:eastAsia="Calibri" w:cs="Calibri"/>
      <w:lang w:eastAsia="zh-CN"/>
    </w:rPr>
  </w:style>
  <w:style w:type="paragraph" w:styleId="69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1">
    <w:name w:val="Hyperlink"/>
    <w:basedOn w:val="679"/>
    <w:uiPriority w:val="99"/>
    <w:unhideWhenUsed/>
    <w:rPr>
      <w:color w:val="0563c1" w:themeColor="hyperlink"/>
      <w:u w:val="single"/>
    </w:rPr>
  </w:style>
  <w:style w:type="character" w:styleId="692" w:customStyle="1">
    <w:name w:val="xfm_93972720"/>
    <w:basedOn w:val="679"/>
  </w:style>
  <w:style w:type="character" w:styleId="693" w:customStyle="1">
    <w:name w:val="Звичайний (веб) Знак"/>
    <w:link w:val="686"/>
    <w:qFormat/>
    <w:rPr>
      <w:rFonts w:ascii="Times New Roman" w:hAnsi="Times New Roman" w:cs="Times New Roman"/>
      <w:sz w:val="24"/>
      <w:szCs w:val="24"/>
      <w:lang w:val="uk-UA"/>
    </w:rPr>
  </w:style>
  <w:style w:type="paragraph" w:styleId="694">
    <w:name w:val="Body Text 2"/>
    <w:basedOn w:val="676"/>
    <w:link w:val="69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5" w:customStyle="1">
    <w:name w:val="Основний текст 2 Знак"/>
    <w:basedOn w:val="679"/>
    <w:link w:val="6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7" w:customStyle="1">
    <w:name w:val="Заголовок 2 Знак"/>
    <w:basedOn w:val="679"/>
    <w:link w:val="67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8">
    <w:name w:val="No Spacing"/>
    <w:link w:val="69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9" w:customStyle="1">
    <w:name w:val="Без інтервалів Знак"/>
    <w:basedOn w:val="679"/>
    <w:link w:val="698"/>
    <w:uiPriority w:val="1"/>
    <w:rPr>
      <w:rFonts w:ascii="Calibri" w:hAnsi="Calibri" w:eastAsia="Calibri" w:cs="Times New Roman"/>
      <w:lang w:val="uk-UA"/>
    </w:rPr>
  </w:style>
  <w:style w:type="character" w:styleId="700" w:customStyle="1">
    <w:name w:val="Другое_"/>
    <w:basedOn w:val="679"/>
    <w:link w:val="701"/>
    <w:rPr>
      <w:rFonts w:ascii="Calibri" w:hAnsi="Calibri" w:eastAsia="Calibri" w:cs="Calibri"/>
      <w:sz w:val="20"/>
      <w:szCs w:val="20"/>
    </w:rPr>
  </w:style>
  <w:style w:type="paragraph" w:styleId="701" w:customStyle="1">
    <w:name w:val="Другое"/>
    <w:basedOn w:val="676"/>
    <w:link w:val="70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2" w:customStyle="1">
    <w:name w:val="mr-white"/>
    <w:basedOn w:val="679"/>
  </w:style>
  <w:style w:type="character" w:styleId="703" w:customStyle="1">
    <w:name w:val="Заголовок 1 Знак"/>
    <w:basedOn w:val="679"/>
    <w:link w:val="67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89</cp:revision>
  <dcterms:created xsi:type="dcterms:W3CDTF">2022-11-01T12:47:00Z</dcterms:created>
  <dcterms:modified xsi:type="dcterms:W3CDTF">2023-05-19T11:06:42Z</dcterms:modified>
</cp:coreProperties>
</file>