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widowControl w:val="off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Роботи з коригування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проєктно</w:t>
      </w:r>
      <w:r>
        <w:rPr>
          <w:rFonts w:ascii="Times New Roman" w:hAnsi="Times New Roman" w:cs="Times New Roman"/>
          <w:bCs/>
          <w:sz w:val="24"/>
          <w:szCs w:val="24"/>
        </w:rPr>
        <w:t xml:space="preserve">-кошторисної документації з проведенням її експертизи щодо об’єкту: «Реконструкція комплексу будівель і споруд ДУ «Центр інфраструктури та технологій МВС України» під галузевий державний архів МВС України,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bCs/>
          <w:sz w:val="24"/>
          <w:szCs w:val="24"/>
        </w:rPr>
        <w:t xml:space="preserve">: м. Київ, вул. Волинська, 26»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за кодом CPV за ЄЗС  ДК 021:2015:</w:t>
      </w:r>
      <w:r>
        <w:rPr>
          <w:rFonts w:ascii="Times New Roman" w:hAnsi="Times New Roman" w:cs="Times New Roman"/>
          <w:bCs/>
          <w:sz w:val="24"/>
          <w:szCs w:val="24"/>
        </w:rPr>
        <w:t xml:space="preserve">7132000-7: Послуги з інженерного проектування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UA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-2023-02-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24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010143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 xml:space="preserve">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Роботи з коригування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проєктно</w:t>
      </w:r>
      <w:r>
        <w:rPr>
          <w:rFonts w:ascii="Times New Roman" w:hAnsi="Times New Roman" w:cs="Times New Roman"/>
          <w:bCs/>
          <w:sz w:val="24"/>
          <w:szCs w:val="24"/>
        </w:rPr>
        <w:t xml:space="preserve">-кошторисної документації з проведенням її експертизи щодо об’єкту: «Реконструкція комплексу будівель і споруд ДУ «Центр інфраструктури та технологій МВС України» під галузевий державний архів МВС України,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bCs/>
          <w:sz w:val="24"/>
          <w:szCs w:val="24"/>
        </w:rPr>
        <w:t xml:space="preserve">: м. Київ, вул. Волинська, 26»</w:t>
      </w:r>
      <w:r/>
    </w:p>
    <w:p>
      <w:pPr>
        <w:pStyle w:val="690"/>
        <w:ind w:firstLine="720"/>
        <w:jc w:val="center"/>
        <w:spacing w:before="0" w:beforeAutospacing="0" w:after="0" w:afterAutospacing="0"/>
        <w:shd w:val="clear" w:color="auto" w:fill="ffffff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</w:r>
      <w:r/>
    </w:p>
    <w:p>
      <w:pPr>
        <w:pStyle w:val="69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ЗАВДАННЯ НА ПРОЄКТУВАННЯ</w:t>
      </w:r>
      <w:r/>
    </w:p>
    <w:p>
      <w:pPr>
        <w:jc w:val="both"/>
        <w:tabs>
          <w:tab w:val="left" w:pos="3045" w:leader="none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коригування </w:t>
      </w:r>
      <w:r>
        <w:rPr>
          <w:rFonts w:ascii="Times New Roman" w:hAnsi="Times New Roman"/>
          <w:bCs/>
          <w:sz w:val="28"/>
          <w:szCs w:val="28"/>
        </w:rPr>
        <w:t xml:space="preserve">проєктно</w:t>
      </w:r>
      <w:r>
        <w:rPr>
          <w:rFonts w:ascii="Times New Roman" w:hAnsi="Times New Roman"/>
          <w:bCs/>
          <w:sz w:val="28"/>
          <w:szCs w:val="28"/>
        </w:rPr>
        <w:t xml:space="preserve">-кошторисної документації з проведенням її експертизи щодо об’єкту: «Реконструкція комплексу будівель і споруд ДУ «Центр інфраструктури та технологій МВС України» під галузевий державний архів МВС України, за </w:t>
      </w:r>
      <w:r>
        <w:rPr>
          <w:rFonts w:ascii="Times New Roman" w:hAnsi="Times New Roman"/>
          <w:bCs/>
          <w:sz w:val="28"/>
          <w:szCs w:val="28"/>
        </w:rPr>
        <w:t xml:space="preserve">адресою</w:t>
      </w:r>
      <w:r>
        <w:rPr>
          <w:rFonts w:ascii="Times New Roman" w:hAnsi="Times New Roman"/>
          <w:bCs/>
          <w:sz w:val="28"/>
          <w:szCs w:val="28"/>
        </w:rPr>
        <w:t xml:space="preserve">: м. Київ, вул. Волинська, 26»</w:t>
      </w:r>
      <w:r/>
    </w:p>
    <w:tbl>
      <w:tblPr>
        <w:tblW w:w="954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020" w:firstRow="1" w:lastRow="0" w:firstColumn="0" w:lastColumn="0" w:noHBand="0" w:noVBand="0"/>
      </w:tblPr>
      <w:tblGrid>
        <w:gridCol w:w="548"/>
        <w:gridCol w:w="3592"/>
        <w:gridCol w:w="540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Перелік основних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відомостей та вимог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Зміст основних відомостей та  вимог </w:t>
            </w:r>
            <w:r/>
          </w:p>
        </w:tc>
      </w:tr>
      <w:tr>
        <w:trPr>
          <w:trHeight w:val="7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та місцезнаходження об’єкту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«Реконструкція комплексу будівель і споруд ДУ «Центр інфраструктури та технологій МВС України» під галузевий державний архів МВС України,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м. Київ, вул. Волинська, 26»</w:t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проєктування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замовлення</w:t>
            </w:r>
            <w:r/>
          </w:p>
        </w:tc>
      </w:tr>
      <w:tr>
        <w:trPr>
          <w:trHeight w:val="3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будівництва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Реконструкція з добудовою</w:t>
            </w:r>
            <w:r/>
          </w:p>
        </w:tc>
      </w:tr>
      <w:tr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замовника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Державна установа «Центр інфраструктури та технологій Міністерства внутрішніх справ України»</w:t>
            </w:r>
            <w:r/>
          </w:p>
        </w:tc>
      </w:tr>
      <w:tr>
        <w:trPr>
          <w:trHeight w:val="3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Джерело фінансування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pStyle w:val="684"/>
              <w:jc w:val="both"/>
              <w:spacing w:after="0" w:line="240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Державний бюджет</w:t>
            </w:r>
            <w:r/>
          </w:p>
        </w:tc>
      </w:tr>
      <w:tr>
        <w:trPr>
          <w:trHeight w:val="7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генерального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проєктувальника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 визначено за результатами процедури закупівлі відповідно до Закону України «Про публічні закупівлі»</w:t>
            </w:r>
            <w:r/>
          </w:p>
        </w:tc>
      </w:tr>
      <w:tr>
        <w:trPr>
          <w:trHeight w:val="20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Стадійність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проєктування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визначенням затверджуваної стадії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pStyle w:val="693"/>
              <w:ind w:firstLine="33"/>
              <w:tabs>
                <w:tab w:val="left" w:pos="385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В дві стадії:</w:t>
            </w:r>
            <w:r/>
          </w:p>
          <w:p>
            <w:pPr>
              <w:pStyle w:val="694"/>
              <w:numPr>
                <w:ilvl w:val="0"/>
                <w:numId w:val="15"/>
              </w:numPr>
              <w:tabs>
                <w:tab w:val="left" w:pos="385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Проект (П)</w:t>
            </w:r>
            <w:r/>
          </w:p>
          <w:p>
            <w:pPr>
              <w:pStyle w:val="694"/>
              <w:numPr>
                <w:ilvl w:val="0"/>
                <w:numId w:val="15"/>
              </w:numPr>
              <w:tabs>
                <w:tab w:val="left" w:pos="385" w:leader="none"/>
              </w:tabs>
              <w:rPr>
                <w:color w:val="auto"/>
              </w:rPr>
            </w:pPr>
            <w:r>
              <w:rPr>
                <w:color w:val="auto"/>
              </w:rPr>
              <w:t xml:space="preserve">Робоча документація (Р)</w:t>
            </w:r>
            <w:r/>
          </w:p>
          <w:p>
            <w:pPr>
              <w:pStyle w:val="694"/>
              <w:ind w:left="0" w:firstLine="33"/>
              <w:tabs>
                <w:tab w:val="left" w:pos="385" w:leader="none"/>
              </w:tabs>
              <w:rPr>
                <w:color w:val="auto"/>
              </w:rPr>
            </w:pPr>
            <w:r>
              <w:rPr>
                <w:color w:val="auto"/>
                <w:lang w:eastAsia="ru-RU"/>
              </w:rPr>
              <w:t xml:space="preserve">Склад розділів вищевказаних стадій проектування виконати згідно </w:t>
            </w:r>
            <w:r>
              <w:rPr>
                <w:color w:val="auto"/>
              </w:rPr>
              <w:t xml:space="preserve">ДБН А.2.2-3-2014 «Склад та зміст проектної документації на будівництво» з урахуванням особливостей об’єкта будівництва.</w:t>
            </w:r>
            <w:r/>
          </w:p>
        </w:tc>
      </w:tr>
      <w:tr>
        <w:trPr>
          <w:trHeight w:val="12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Інженерні вишукування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1.Інженерно-геодезичні та інженерно-геологічні вишукування на площу добудови 4200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добудови,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виконуються генеральним проектувальником відповідно до ДБН А.2.1-1:2014 зі зміною 1.</w:t>
            </w:r>
            <w:r/>
          </w:p>
        </w:tc>
      </w:tr>
      <w:tr>
        <w:trPr>
          <w:trHeight w:val="12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Визначення класу наслідків (відповідальності) і встановленого строку експлуатації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 наслідків попереднього розробленого проекту СС2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5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особливі умови будівництва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Згідно інженерно-геологічних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вишукувань</w:t>
            </w:r>
            <w:r/>
          </w:p>
        </w:tc>
      </w:tr>
      <w:tr>
        <w:trPr>
          <w:trHeight w:val="7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Основні архітектурно-планувальні вимоги і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запроєктованого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Коригуванням проекту передбачити наступне :</w:t>
            </w:r>
            <w:r/>
          </w:p>
          <w:p>
            <w:pPr>
              <w:pStyle w:val="6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Розміщення укриття на 150 осіб;</w:t>
            </w:r>
            <w:r/>
          </w:p>
          <w:p>
            <w:pPr>
              <w:pStyle w:val="692"/>
              <w:rPr>
                <w:rFonts w:ascii="Times New Roman" w:hAnsi="Times New Roman" w:eastAsia="MS Mincho"/>
                <w:sz w:val="24"/>
                <w:szCs w:val="24"/>
              </w:rPr>
            </w:pPr>
            <w:r>
              <w:rPr>
                <w:rFonts w:ascii="Times New Roman" w:hAnsi="Times New Roman" w:eastAsia="MS Minch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Розробка проектної документації зовнішніх мереж</w:t>
            </w:r>
            <w:r>
              <w:rPr>
                <w:rFonts w:ascii="Times New Roman" w:hAnsi="Times New Roman" w:eastAsia="MS Mincho"/>
                <w:sz w:val="24"/>
                <w:szCs w:val="24"/>
              </w:rPr>
              <w:t xml:space="preserve">;</w:t>
            </w:r>
            <w:r/>
          </w:p>
          <w:p>
            <w:pPr>
              <w:pStyle w:val="692"/>
              <w:rPr>
                <w:rFonts w:ascii="Times New Roman" w:hAnsi="Times New Roman" w:eastAsia="MS Mincho"/>
                <w:sz w:val="24"/>
                <w:szCs w:val="24"/>
              </w:rPr>
            </w:pPr>
            <w:r>
              <w:rPr>
                <w:rFonts w:ascii="Times New Roman" w:hAnsi="Times New Roman" w:eastAsia="MS Mincho"/>
                <w:sz w:val="24"/>
                <w:szCs w:val="24"/>
              </w:rPr>
              <w:t xml:space="preserve">- коригування складських приміщень архівосховищ для розміщення 2 300 000одиниць:</w:t>
            </w:r>
            <w:r/>
          </w:p>
          <w:p>
            <w:pPr>
              <w:pStyle w:val="684"/>
              <w:spacing w:after="0"/>
              <w:tabs>
                <w:tab w:val="left" w:pos="291" w:leader="none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/>
          </w:p>
        </w:tc>
      </w:tr>
      <w:tr>
        <w:trPr>
          <w:trHeight w:val="9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Черговість будівництва, необхідність виділення пускових комплексів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1 чергу                         </w:t>
            </w:r>
            <w:r/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Вказівки про необхідність:</w:t>
            </w:r>
            <w:r/>
          </w:p>
        </w:tc>
      </w:tr>
      <w:tr>
        <w:trPr>
          <w:trHeight w:val="3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розроблення індивідуальних технічних вимог;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Запроектувати приєднання до інженерних мереж: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водопостачання, водовідведення;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- електропостачання;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Встановлення сучасної охоронної сигналізації, охоронного відео-спостереження;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сучасної пожежної сигналізації.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Технічні умови на приєднання до інженерних мереж отримуються Замовником.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Містобудівні умови та обмеження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забудови земельної ділянки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надаються Замовником.</w:t>
            </w:r>
            <w:r/>
          </w:p>
        </w:tc>
      </w:tr>
      <w:tr>
        <w:trPr>
          <w:trHeight w:val="12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2). Розроблення окремих проектних рішень у декількох варіантах і на конкурсній основі;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потребує</w:t>
            </w:r>
            <w:r/>
          </w:p>
        </w:tc>
      </w:tr>
      <w:tr>
        <w:trPr>
          <w:trHeight w:val="9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Попередні погодження проектних рішень;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Попередньо погодити із замовником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планувальні рішення;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план.</w:t>
            </w:r>
            <w:r/>
          </w:p>
        </w:tc>
      </w:tr>
      <w:tr>
        <w:trPr>
          <w:trHeight w:val="10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4). Виконання демонстраційних матеріалів, макетів, креслень, інтер’єрів, їх склад та форма;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pStyle w:val="691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Просторовий план території;</w:t>
            </w:r>
            <w:r/>
          </w:p>
          <w:p>
            <w:pPr>
              <w:pStyle w:val="691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візуалізації екстер’єру та інтер’єру;</w:t>
            </w:r>
            <w:r/>
          </w:p>
        </w:tc>
      </w:tr>
      <w:tr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5). Виконання науково-дослідних та дослідно-експериментальних робіт у процесі проектування;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потребує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6). Технічний захист інформації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Відповідно до Закону України  «Про авторське право і суміжні права»</w:t>
            </w:r>
            <w:r/>
          </w:p>
        </w:tc>
      </w:tr>
      <w:tr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вид палива і попередні погодження по його використанню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Вторинна сировина, альтернативна енергетика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Потужність або характеристика об’єкта, виробнича програма.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Площа земельної ділянки  1,2050 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 до благоустрою території.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ДБН В.2.2-5 2011 «Благоустрій територій» зі змінами, ДБН В.2.2-9:2018 «Громадські будинки та споруди».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інженерного захисту територій та об’єктів, виробнича програма.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ДБН В.1.1-46:2017 «Інженерний захист територій»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щодо розроблення розділу «Оцінка впливу на  навколишнє середовище».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вимог ДБН А.2.2-1-2003 «Склад і зміст матеріалів оцінки впливів на навколишнє середовище (ОВНС) при проектуванні і будівництві підприємств, будинків і споруд»</w:t>
            </w:r>
            <w:r/>
          </w:p>
        </w:tc>
      </w:tr>
      <w:tr>
        <w:trPr>
          <w:trHeight w:val="1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з енергозбереження та енергоефективності.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Виконати відповідно до вимог ДСТУ Б А.2.2-8:2010 «Енергоефективність».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Передбачити: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системи зовнішнього та внутрішнього освітлення запроектувати із застосуванням енергозберігаючих технологій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конструкції з мінімальним коефіцієнтом теплопровідності, сучасні альтернативні джерела енергії, інженерне обладнання з високим коефіцієнтом корисної дії</w:t>
            </w:r>
            <w:r/>
          </w:p>
        </w:tc>
      </w:tr>
      <w:tr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Дані про технології і (або) науково-дослідні роботи, які пропонує застосувати  замовник.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потребує</w:t>
            </w:r>
            <w:r/>
          </w:p>
        </w:tc>
      </w:tr>
      <w:tr>
        <w:trPr>
          <w:trHeight w:val="1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режиму безпеки та охорони праці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Відповідно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ДБН А.3.2.2-2009 «Промислова безпека в будівництві»</w:t>
            </w:r>
            <w:r/>
          </w:p>
        </w:tc>
      </w:tr>
      <w:tr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 до розробки розділу інженерно-технічних заходів з цивільного захисту (цивільної оборони)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Відповідно до ДБН В.1.2-4-2006 «Інженерно-технічні заходи з цивільного захисту (цивільної оборони)»</w:t>
            </w:r>
            <w:r/>
          </w:p>
        </w:tc>
      </w:tr>
      <w:tr>
        <w:trPr>
          <w:trHeight w:val="1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систем протипожежного захисту об’єкту.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Запроектувати системи протипожежного захисту об’єкту у відповідності до чинного законодавства України відносно протипожежного захисту (нормативно-правові акти, пожежні норми, стандарти та ін.)</w:t>
            </w:r>
            <w:r/>
          </w:p>
        </w:tc>
      </w:tr>
      <w:tr>
        <w:trPr>
          <w:trHeight w:val="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Містобудівні вимоги щодо території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виконання комплексного благоустрою та озеленення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територій ділянок, де будуть розміщені виробництва;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дотримання вимог містобудування, щодо трасування проектованих вулиць та проїздів;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забезпечення нормативних санітарно-захисних зон.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Призначення нежитлових будівель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виробництво електричної та теплової енергії;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-виробництво будівельних матеріалів;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-машино-будування, металообробка;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-екологічна переробка твердих побутових відходів; 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-виробництво продукції легкої промисловості, виробів з пластмас;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-науково-дослідна діяльність, виробництво електроніки та ІТ технологій;</w:t>
            </w:r>
            <w:r/>
          </w:p>
          <w:p>
            <w:pPr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виробництво харчових продуктів, комплексна переробка сільськогосподарської продукції.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інклюзивності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Виконати згідно з ДБН В.2.2-40:2018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Інклюзивність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будівель і споруд».</w:t>
            </w:r>
            <w:r/>
          </w:p>
          <w:p>
            <w:pPr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Перелік будинків і споруд що проектуються у складі комплексу.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проєкті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передбачити: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Реконструкцію з добудовою складських приміщень;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Сховище на 150 осіб;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Будівництво огорожі по всьому;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Реконструкцію внутрішніх між майданчикових автодоріг;</w:t>
            </w:r>
            <w:r/>
          </w:p>
          <w:p>
            <w:pPr>
              <w:pStyle w:val="691"/>
              <w:numPr>
                <w:ilvl w:val="0"/>
                <w:numId w:val="16"/>
              </w:numPr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/>
          </w:p>
        </w:tc>
      </w:tr>
      <w:tr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Кількість примірників проектно-кошторисної документації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вимог ДБН А.2.2-3-2014 зі Зміною 1 «Склад та зміст проектної документації на будівництво» проектну документацію надати: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друкованому вигляді українською мовою в 4-х примірниках;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 електронному носієві (компакт-диск/флешка) українською мовою ˗ у одному примірнику (креслення, кошториси та текстові документи – скановані та збережені у форматі PDF, кошториси – додатково у програмному файлі АВК).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Врахувати вимоги ризику учасників будівництва в кошторисній документації</w:t>
            </w:r>
            <w:r/>
          </w:p>
        </w:tc>
      </w:tr>
      <w:tr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Основні вимоги до проектування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Склад та зміст проектної документації відповідно до вимог ДБН А.2.2-3-2014, який має бути достатнім для оцінки проектних рішень та їх реалізації.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Оформлення проектної документації у відповідності до вимог ДСТУ Б А.2.4-4:2009 «СПДБ. Основні вимоги до проектної та робочої документації».</w:t>
            </w:r>
            <w:r/>
          </w:p>
        </w:tc>
      </w:tr>
      <w:tr>
        <w:trPr>
          <w:trHeight w:val="1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кошторисної документації.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Кошторисну документацію розробити відповідно до вимог ДСТУ Б Д.1.1-1:2013 «Правила визначення вартості будівництва».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Поточні ціни на матеріальні ресурси прийняти за наслідками проведеного аналізу поточних цін на ринку будівельних матеріалів, виробів і конструкцій в регіоні.</w:t>
            </w:r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Експертиза кошторисної документації: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Розроблену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проєктно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-кошторисну документацію подати на експертизу відповідно до чинного законодавства України та отримати позитивний експертний звіт. Комплексну експертизу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проєкту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забезпечує проектна організація.</w:t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1001050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1 188 463,00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сто вісімдесят вісім тисяч чотириста шістдесят три гривні 00 копійок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з ПДВ.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694"/>
      <w:isLgl w:val="false"/>
      <w:suff w:val="tab"/>
      <w:lvlText w:val="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93" w:hanging="360"/>
      </w:pPr>
      <w:rPr>
        <w:rFonts w:hint="default" w:ascii="Times New Roman" w:hAnsi="Times New Roman" w:eastAsia="Arial Unicode M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3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13"/>
  </w:num>
  <w:num w:numId="7">
    <w:abstractNumId w:val="5"/>
  </w:num>
  <w:num w:numId="8">
    <w:abstractNumId w:val="15"/>
  </w:num>
  <w:num w:numId="9">
    <w:abstractNumId w:val="1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6"/>
    <w:next w:val="67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7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6"/>
    <w:next w:val="67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7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6"/>
    <w:next w:val="67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6"/>
    <w:next w:val="67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6"/>
    <w:next w:val="67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6"/>
    <w:next w:val="67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6"/>
    <w:next w:val="67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6"/>
    <w:next w:val="67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6"/>
    <w:next w:val="67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6"/>
    <w:next w:val="67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7"/>
    <w:link w:val="33"/>
    <w:uiPriority w:val="10"/>
    <w:rPr>
      <w:sz w:val="48"/>
      <w:szCs w:val="48"/>
    </w:rPr>
  </w:style>
  <w:style w:type="paragraph" w:styleId="35">
    <w:name w:val="Subtitle"/>
    <w:basedOn w:val="676"/>
    <w:next w:val="67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7"/>
    <w:link w:val="35"/>
    <w:uiPriority w:val="11"/>
    <w:rPr>
      <w:sz w:val="24"/>
      <w:szCs w:val="24"/>
    </w:rPr>
  </w:style>
  <w:style w:type="paragraph" w:styleId="37">
    <w:name w:val="Quote"/>
    <w:basedOn w:val="676"/>
    <w:next w:val="67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6"/>
    <w:next w:val="67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7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77"/>
    <w:link w:val="41"/>
    <w:uiPriority w:val="99"/>
  </w:style>
  <w:style w:type="character" w:styleId="44">
    <w:name w:val="Footer Char"/>
    <w:basedOn w:val="677"/>
    <w:link w:val="686"/>
    <w:uiPriority w:val="99"/>
  </w:style>
  <w:style w:type="paragraph" w:styleId="45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6"/>
    <w:uiPriority w:val="99"/>
  </w:style>
  <w:style w:type="table" w:styleId="48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7"/>
    <w:uiPriority w:val="99"/>
    <w:unhideWhenUsed/>
    <w:rPr>
      <w:vertAlign w:val="superscript"/>
    </w:rPr>
  </w:style>
  <w:style w:type="paragraph" w:styleId="177">
    <w:name w:val="endnote text"/>
    <w:basedOn w:val="67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7"/>
    <w:uiPriority w:val="99"/>
    <w:semiHidden/>
    <w:unhideWhenUsed/>
    <w:rPr>
      <w:vertAlign w:val="superscript"/>
    </w:rPr>
  </w:style>
  <w:style w:type="paragraph" w:styleId="180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List Paragraph"/>
    <w:basedOn w:val="676"/>
    <w:link w:val="68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1" w:customStyle="1">
    <w:name w:val="Абзац списку Знак"/>
    <w:link w:val="680"/>
    <w:uiPriority w:val="34"/>
    <w:rPr>
      <w:rFonts w:ascii="Calibri" w:hAnsi="Calibri" w:eastAsia="Calibri" w:cs="Calibri"/>
      <w:lang w:eastAsia="zh-CN"/>
    </w:rPr>
  </w:style>
  <w:style w:type="table" w:styleId="682">
    <w:name w:val="Table Grid"/>
    <w:basedOn w:val="6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3" w:customStyle="1">
    <w:name w:val="Сетка таблицы2"/>
    <w:basedOn w:val="678"/>
    <w:next w:val="68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Normal (Web)"/>
    <w:basedOn w:val="676"/>
    <w:link w:val="68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685" w:customStyle="1">
    <w:name w:val="Сетка таблицы1"/>
    <w:basedOn w:val="678"/>
    <w:next w:val="68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Footer"/>
    <w:basedOn w:val="676"/>
    <w:link w:val="68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7" w:customStyle="1">
    <w:name w:val="Нижній колонтитул Знак"/>
    <w:basedOn w:val="677"/>
    <w:link w:val="686"/>
    <w:uiPriority w:val="99"/>
    <w:rPr>
      <w:rFonts w:ascii="Calibri" w:hAnsi="Calibri" w:eastAsia="Calibri" w:cs="Calibri"/>
      <w:lang w:eastAsia="zh-CN"/>
    </w:rPr>
  </w:style>
  <w:style w:type="character" w:styleId="688">
    <w:name w:val="Hyperlink"/>
    <w:semiHidden/>
    <w:unhideWhenUsed/>
    <w:rPr>
      <w:color w:val="0000ff"/>
      <w:u w:val="single"/>
    </w:rPr>
  </w:style>
  <w:style w:type="character" w:styleId="689" w:customStyle="1">
    <w:name w:val="Звичайний (веб) Знак"/>
    <w:link w:val="684"/>
    <w:semiHidden/>
    <w:rPr>
      <w:rFonts w:ascii="Times New Roman" w:hAnsi="Times New Roman" w:cs="Times New Roman"/>
      <w:sz w:val="24"/>
      <w:szCs w:val="24"/>
      <w:lang w:val="uk-UA"/>
    </w:rPr>
  </w:style>
  <w:style w:type="paragraph" w:styleId="690" w:customStyle="1">
    <w:name w:val="rvps2"/>
    <w:basedOn w:val="676"/>
    <w:qFormat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en-US"/>
    </w:rPr>
  </w:style>
  <w:style w:type="paragraph" w:styleId="691" w:customStyle="1">
    <w:name w:val="List Paragraph"/>
    <w:basedOn w:val="676"/>
    <w:qFormat/>
    <w:pPr>
      <w:contextualSpacing/>
      <w:ind w:left="720"/>
      <w:spacing w:line="256" w:lineRule="auto"/>
    </w:pPr>
    <w:rPr>
      <w:rFonts w:ascii="Calibri" w:hAnsi="Calibri" w:eastAsia="Times New Roman" w:cs="Times New Roman"/>
      <w:lang w:val="en-US"/>
    </w:rPr>
  </w:style>
  <w:style w:type="paragraph" w:styleId="692" w:customStyle="1">
    <w:name w:val="No Spacing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paragraph" w:styleId="693" w:customStyle="1">
    <w:name w:val="основной"/>
    <w:basedOn w:val="676"/>
    <w:qFormat/>
    <w:pPr>
      <w:ind w:firstLine="284"/>
      <w:spacing w:after="0" w:line="240" w:lineRule="auto"/>
    </w:pPr>
    <w:rPr>
      <w:rFonts w:ascii="Times New Roman" w:hAnsi="Times New Roman" w:eastAsia="Arial Unicode MS" w:cs="Times New Roman"/>
      <w:color w:val="000000"/>
      <w:sz w:val="24"/>
      <w:szCs w:val="24"/>
      <w:lang w:eastAsia="uk-UA"/>
    </w:rPr>
  </w:style>
  <w:style w:type="paragraph" w:styleId="694" w:customStyle="1">
    <w:name w:val="перечень"/>
    <w:basedOn w:val="676"/>
    <w:qFormat/>
    <w:pPr>
      <w:numPr>
        <w:numId w:val="14"/>
      </w:numPr>
      <w:spacing w:after="0" w:line="240" w:lineRule="auto"/>
    </w:pPr>
    <w:rPr>
      <w:rFonts w:ascii="Times New Roman" w:hAnsi="Times New Roman" w:eastAsia="Arial Unicode MS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5B16-4BCC-48F5-9C07-5BDC0B31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52</cp:revision>
  <dcterms:created xsi:type="dcterms:W3CDTF">2022-11-01T12:47:00Z</dcterms:created>
  <dcterms:modified xsi:type="dcterms:W3CDTF">2023-02-24T15:15:04Z</dcterms:modified>
</cp:coreProperties>
</file>