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both"/>
        <w:rPr>
          <w:rFonts w:ascii="Times New Roman" w:hAnsi="Times New Roman" w:cs="Times New Roman"/>
          <w:sz w:val="24"/>
          <w:szCs w:val="24"/>
          <w:highlight w:val="yellow"/>
          <w:lang w:eastAsia="uk-UA"/>
        </w:rPr>
      </w:pPr>
      <w:r>
        <w:rPr>
          <w:rFonts w:ascii="Times New Roman" w:hAnsi="Times New Roman" w:cs="Times New Roman"/>
          <w:b/>
          <w:bCs/>
          <w:sz w:val="24"/>
          <w:szCs w:val="24"/>
        </w:rPr>
        <w:t xml:space="preserve">2. Назва предм</w:t>
      </w:r>
      <w:r>
        <w:rPr>
          <w:rFonts w:ascii="Times New Roman" w:hAnsi="Times New Roman" w:cs="Times New Roman"/>
          <w:b/>
          <w:bCs/>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Послуги випробувань засобів індивідуального захисту за кодом CPV за ЄЗС ДК 021:2015: </w:t>
      </w:r>
      <w:r>
        <w:rPr>
          <w:rFonts w:ascii="Times New Roman" w:hAnsi="Times New Roman" w:cs="Times New Roman"/>
          <w:spacing w:val="1"/>
          <w:sz w:val="24"/>
          <w:szCs w:val="24"/>
          <w:lang w:val="ru-RU"/>
        </w:rPr>
        <w:t xml:space="preserve">ДК 021:2015 71630000-3</w:t>
      </w:r>
      <w:r>
        <w:rPr>
          <w:rFonts w:ascii="Times New Roman" w:hAnsi="Times New Roman" w:cs="Times New Roman"/>
          <w:spacing w:val="1"/>
          <w:sz w:val="24"/>
          <w:szCs w:val="24"/>
        </w:rPr>
        <w:t xml:space="preserve"> </w:t>
      </w:r>
      <w:r>
        <w:rPr>
          <w:rFonts w:ascii="Times New Roman" w:hAnsi="Times New Roman" w:cs="Times New Roman"/>
          <w:sz w:val="24"/>
          <w:szCs w:val="24"/>
          <w:lang w:val="ru-RU"/>
        </w:rPr>
        <w:t xml:space="preserve">Послуги</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огляду</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випробовувань</w:t>
      </w:r>
      <w:r>
        <w:rPr>
          <w:rFonts w:ascii="Times New Roman" w:hAnsi="Times New Roman" w:cs="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004891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rPr>
          <w:rFonts w:ascii="Times New Roman" w:hAnsi="Times New Roman"/>
          <w:sz w:val="24"/>
          <w:szCs w:val="24"/>
          <w:highlight w:val="yellow"/>
          <w:lang w:eastAsia="uk-UA"/>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bookmarkStart w:id="0" w:name="_Hlk131760739"/>
      <w:r>
        <w:rPr>
          <w:rFonts w:ascii="Times New Roman" w:hAnsi="Times New Roman"/>
          <w:color w:val="000000"/>
          <w:sz w:val="24"/>
          <w:szCs w:val="24"/>
        </w:rPr>
        <w:t xml:space="preserve">Послуги випробувань засобів індивідуального захисту за кодом CPV за ЄЗС ДК 021:2015: </w:t>
      </w:r>
      <w:bookmarkEnd w:id="0"/>
      <w:r>
        <w:rPr>
          <w:rFonts w:ascii="Times New Roman" w:hAnsi="Times New Roman"/>
          <w:spacing w:val="1"/>
          <w:sz w:val="24"/>
          <w:szCs w:val="24"/>
          <w:lang w:val="ru-RU"/>
        </w:rPr>
        <w:t xml:space="preserve">ДК 021:2015 71630000-3</w:t>
      </w:r>
      <w:r>
        <w:rPr>
          <w:rFonts w:ascii="Times New Roman" w:hAnsi="Times New Roman"/>
          <w:spacing w:val="1"/>
          <w:sz w:val="24"/>
          <w:szCs w:val="24"/>
        </w:rPr>
        <w:t xml:space="preserve"> </w:t>
      </w:r>
      <w:r>
        <w:rPr>
          <w:rFonts w:ascii="Times New Roman" w:hAnsi="Times New Roman"/>
          <w:sz w:val="24"/>
          <w:szCs w:val="24"/>
          <w:lang w:val="ru-RU"/>
        </w:rPr>
        <w:t xml:space="preserve">Послуги</w:t>
      </w:r>
      <w:r>
        <w:rPr>
          <w:rFonts w:ascii="Times New Roman" w:hAnsi="Times New Roman"/>
          <w:sz w:val="24"/>
          <w:szCs w:val="24"/>
          <w:lang w:val="ru-RU"/>
        </w:rPr>
        <w:t xml:space="preserve"> з </w:t>
      </w:r>
      <w:r>
        <w:rPr>
          <w:rFonts w:ascii="Times New Roman" w:hAnsi="Times New Roman"/>
          <w:sz w:val="24"/>
          <w:szCs w:val="24"/>
          <w:lang w:val="ru-RU"/>
        </w:rPr>
        <w:t xml:space="preserve">технічного</w:t>
      </w:r>
      <w:r>
        <w:rPr>
          <w:rFonts w:ascii="Times New Roman" w:hAnsi="Times New Roman"/>
          <w:sz w:val="24"/>
          <w:szCs w:val="24"/>
          <w:lang w:val="ru-RU"/>
        </w:rPr>
        <w:t xml:space="preserve"> </w:t>
      </w:r>
      <w:r>
        <w:rPr>
          <w:rFonts w:ascii="Times New Roman" w:hAnsi="Times New Roman"/>
          <w:sz w:val="24"/>
          <w:szCs w:val="24"/>
          <w:lang w:val="ru-RU"/>
        </w:rPr>
        <w:t xml:space="preserve">огляду</w:t>
      </w:r>
      <w:r>
        <w:rPr>
          <w:rFonts w:ascii="Times New Roman" w:hAnsi="Times New Roman"/>
          <w:sz w:val="24"/>
          <w:szCs w:val="24"/>
          <w:lang w:val="ru-RU"/>
        </w:rPr>
        <w:t xml:space="preserve"> та </w:t>
      </w:r>
      <w:r>
        <w:rPr>
          <w:rFonts w:ascii="Times New Roman" w:hAnsi="Times New Roman"/>
          <w:sz w:val="24"/>
          <w:szCs w:val="24"/>
          <w:lang w:val="ru-RU"/>
        </w:rPr>
        <w:t xml:space="preserve">випробовувань</w:t>
      </w:r>
      <w:r>
        <w:rPr>
          <w:rFonts w:ascii="Times New Roman" w:hAnsi="Times New Roman"/>
          <w:color w:val="000000"/>
          <w:sz w:val="24"/>
          <w:szCs w:val="24"/>
        </w:rPr>
        <w:t xml:space="preserve">.</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32"/>
          <w:szCs w:val="32"/>
          <w:lang w:eastAsia="uk-UA"/>
        </w:rPr>
      </w:pPr>
      <w:r>
        <w:rPr>
          <w:rFonts w:ascii="Times New Roman" w:hAnsi="Times New Roman"/>
          <w:b/>
          <w:sz w:val="32"/>
          <w:szCs w:val="32"/>
          <w:lang w:eastAsia="uk-UA"/>
        </w:rPr>
        <w:t xml:space="preserve">Технічні вимоги</w:t>
      </w:r>
      <w:r/>
    </w:p>
    <w:tbl>
      <w:tblPr>
        <w:tblW w:w="9781" w:type="dxa"/>
        <w:tblCellSpacing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80"/>
        <w:gridCol w:w="4323"/>
        <w:gridCol w:w="1560"/>
        <w:gridCol w:w="992"/>
        <w:gridCol w:w="2126"/>
      </w:tblGrid>
      <w:tr>
        <w:trPr>
          <w:tblCellSpacing w:w="0" w:type="dxa"/>
          <w:trHeight w:val="20"/>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 п/п</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Найменування</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Один. виміру</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Кіл-</w:t>
            </w:r>
            <w:r>
              <w:rPr>
                <w:rFonts w:ascii="Times New Roman" w:hAnsi="Times New Roman"/>
              </w:rPr>
              <w:t xml:space="preserve">ть</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Кіл-</w:t>
            </w:r>
            <w:r>
              <w:rPr>
                <w:rFonts w:ascii="Times New Roman" w:hAnsi="Times New Roman"/>
              </w:rPr>
              <w:t xml:space="preserve">ть</w:t>
            </w:r>
            <w:r>
              <w:rPr>
                <w:rFonts w:ascii="Times New Roman" w:hAnsi="Times New Roman"/>
              </w:rPr>
              <w:t xml:space="preserve"> </w:t>
            </w:r>
            <w:r>
              <w:rPr>
                <w:rFonts w:ascii="Times New Roman" w:hAnsi="Times New Roman"/>
              </w:rPr>
              <w:t xml:space="preserve">випро-бувань</w:t>
            </w:r>
            <w:r>
              <w:rPr>
                <w:rFonts w:ascii="Times New Roman" w:hAnsi="Times New Roman"/>
              </w:rPr>
              <w:t xml:space="preserve">, послуг</w:t>
            </w:r>
            <w:r/>
          </w:p>
        </w:tc>
      </w:tr>
      <w:tr>
        <w:trPr>
          <w:tblCellSpacing w:w="0" w:type="dxa"/>
          <w:trHeight w:val="279"/>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1</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Випробування діелектричних рукавиць</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пара</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6</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2</w:t>
            </w:r>
            <w:r/>
          </w:p>
        </w:tc>
      </w:tr>
      <w:tr>
        <w:trPr>
          <w:tblCellSpacing w:w="0" w:type="dxa"/>
          <w:trHeight w:val="279"/>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2</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Випробування запобіжних поясів ПП1-Є</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шт.</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4</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2</w:t>
            </w:r>
            <w:r/>
          </w:p>
        </w:tc>
      </w:tr>
      <w:tr>
        <w:trPr>
          <w:tblCellSpacing w:w="0" w:type="dxa"/>
          <w:trHeight w:val="279"/>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3</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Випробування інструменту з захисними рукоятками (викрутки, </w:t>
            </w:r>
            <w:r>
              <w:rPr>
                <w:rFonts w:ascii="Times New Roman" w:hAnsi="Times New Roman"/>
              </w:rPr>
              <w:t xml:space="preserve">бокорізи</w:t>
            </w:r>
            <w:r>
              <w:rPr>
                <w:rFonts w:ascii="Times New Roman" w:hAnsi="Times New Roman"/>
              </w:rPr>
              <w:t xml:space="preserve">, плоскогубці, качкодзьоби)</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шт.</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16</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1</w:t>
            </w:r>
            <w:r/>
          </w:p>
        </w:tc>
      </w:tr>
      <w:tr>
        <w:trPr>
          <w:tblCellSpacing w:w="0" w:type="dxa"/>
          <w:trHeight w:val="279"/>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4</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Випробування вказівників напруги до 1000 В</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шт.</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3</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1</w:t>
            </w:r>
            <w:r/>
          </w:p>
        </w:tc>
      </w:tr>
      <w:tr>
        <w:trPr>
          <w:tblCellSpacing w:w="0" w:type="dxa"/>
          <w:trHeight w:val="279"/>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5</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Випробування вказівників напруги вище 1000 В</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шт.</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2</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1</w:t>
            </w:r>
            <w:r/>
          </w:p>
        </w:tc>
      </w:tr>
      <w:tr>
        <w:trPr>
          <w:tblCellSpacing w:w="0" w:type="dxa"/>
          <w:trHeight w:val="279"/>
        </w:trPr>
        <w:tc>
          <w:tcPr>
            <w:tcBorders>
              <w:top w:val="single" w:color="000000" w:sz="4" w:space="0"/>
              <w:left w:val="single" w:color="000000" w:sz="4" w:space="0"/>
              <w:bottom w:val="single" w:color="000000" w:sz="4" w:space="0"/>
              <w:right w:val="single" w:color="000000" w:sz="4" w:space="0"/>
            </w:tcBorders>
            <w:tcW w:w="780" w:type="dxa"/>
            <w:vAlign w:val="center"/>
            <w:textDirection w:val="lrTb"/>
            <w:noWrap w:val="false"/>
          </w:tcPr>
          <w:p>
            <w:pPr>
              <w:jc w:val="both"/>
              <w:rPr>
                <w:rFonts w:ascii="Times New Roman" w:hAnsi="Times New Roman"/>
              </w:rPr>
            </w:pPr>
            <w:r>
              <w:rPr>
                <w:rFonts w:ascii="Times New Roman" w:hAnsi="Times New Roman"/>
              </w:rPr>
              <w:t xml:space="preserve">6</w:t>
            </w:r>
            <w:r/>
          </w:p>
        </w:tc>
        <w:tc>
          <w:tcPr>
            <w:shd w:val="clear" w:color="auto" w:fill="ffffff"/>
            <w:tcBorders>
              <w:top w:val="single" w:color="000000" w:sz="4" w:space="0"/>
              <w:left w:val="single" w:color="000000" w:sz="4" w:space="0"/>
              <w:bottom w:val="single" w:color="000000" w:sz="4" w:space="0"/>
              <w:right w:val="single" w:color="000000" w:sz="4" w:space="0"/>
            </w:tcBorders>
            <w:tcW w:w="4323" w:type="dxa"/>
            <w:vAlign w:val="center"/>
            <w:textDirection w:val="lrTb"/>
            <w:noWrap w:val="false"/>
          </w:tcPr>
          <w:p>
            <w:pPr>
              <w:jc w:val="both"/>
              <w:rPr>
                <w:rFonts w:ascii="Times New Roman" w:hAnsi="Times New Roman"/>
              </w:rPr>
            </w:pPr>
            <w:r>
              <w:rPr>
                <w:rFonts w:ascii="Times New Roman" w:hAnsi="Times New Roman"/>
              </w:rPr>
              <w:t xml:space="preserve">Випробування драбин</w:t>
            </w: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both"/>
              <w:rPr>
                <w:rFonts w:ascii="Times New Roman" w:hAnsi="Times New Roman"/>
              </w:rPr>
            </w:pPr>
            <w:r>
              <w:rPr>
                <w:rFonts w:ascii="Times New Roman" w:hAnsi="Times New Roman"/>
              </w:rPr>
              <w:t xml:space="preserve">шт.</w:t>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both"/>
              <w:rPr>
                <w:rFonts w:ascii="Times New Roman" w:hAnsi="Times New Roman"/>
              </w:rPr>
            </w:pPr>
            <w:r>
              <w:rPr>
                <w:rFonts w:ascii="Times New Roman" w:hAnsi="Times New Roman"/>
              </w:rPr>
              <w:t xml:space="preserve">4</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both"/>
              <w:rPr>
                <w:rFonts w:ascii="Times New Roman" w:hAnsi="Times New Roman"/>
              </w:rPr>
            </w:pPr>
            <w:r>
              <w:rPr>
                <w:rFonts w:ascii="Times New Roman" w:hAnsi="Times New Roman"/>
              </w:rPr>
              <w:t xml:space="preserve">1</w:t>
            </w:r>
            <w:r/>
          </w:p>
        </w:tc>
      </w:tr>
    </w:tbl>
    <w:p>
      <w:pPr>
        <w:jc w:val="center"/>
        <w:rPr>
          <w:rFonts w:ascii="Times New Roman" w:hAnsi="Times New Roman"/>
          <w:b/>
          <w:lang w:eastAsia="uk-UA"/>
        </w:rPr>
      </w:pPr>
      <w:r>
        <w:rPr>
          <w:rFonts w:ascii="Times New Roman" w:hAnsi="Times New Roman"/>
          <w:b/>
          <w:lang w:eastAsia="uk-UA"/>
        </w:rPr>
      </w:r>
      <w:r/>
    </w:p>
    <w:p>
      <w:pPr>
        <w:ind w:firstLine="567"/>
        <w:jc w:val="both"/>
        <w:rPr>
          <w:rFonts w:ascii="Times New Roman" w:hAnsi="Times New Roman"/>
          <w:bCs/>
          <w:lang w:eastAsia="uk-UA"/>
        </w:rPr>
      </w:pPr>
      <w:r>
        <w:rPr>
          <w:rFonts w:ascii="Times New Roman" w:hAnsi="Times New Roman"/>
          <w:bCs/>
          <w:lang w:eastAsia="uk-UA"/>
        </w:rPr>
        <w:t xml:space="preserve">Послуги надаються у відповідності до чинного законодавства.</w:t>
      </w:r>
      <w:r/>
    </w:p>
    <w:p>
      <w:pPr>
        <w:ind w:firstLine="567"/>
        <w:jc w:val="both"/>
        <w:rPr>
          <w:rFonts w:ascii="Times New Roman" w:hAnsi="Times New Roman"/>
          <w:bCs/>
          <w:lang w:eastAsia="uk-UA"/>
        </w:rPr>
      </w:pPr>
      <w:r>
        <w:rPr>
          <w:rFonts w:ascii="Times New Roman" w:hAnsi="Times New Roman"/>
          <w:bCs/>
          <w:lang w:eastAsia="uk-UA"/>
        </w:rPr>
      </w:r>
      <w:r/>
    </w:p>
    <w:p>
      <w:pPr>
        <w:pStyle w:val="746"/>
        <w:jc w:val="both"/>
        <w:rPr>
          <w:i/>
        </w:rPr>
      </w:pPr>
      <w:r>
        <w:rPr>
          <w:i/>
        </w:rPr>
        <w:t xml:space="preserve">Стосовно ДЕРЖАВНОГО НОРМАТИВНОГО АКТУ ПРО ОХОРОНУ ПРАЦІ:</w:t>
      </w:r>
      <w:r/>
    </w:p>
    <w:p>
      <w:pPr>
        <w:pStyle w:val="746"/>
        <w:jc w:val="both"/>
        <w:rPr>
          <w:i/>
        </w:rPr>
      </w:pPr>
      <w:r>
        <w:rPr>
          <w:i/>
        </w:rPr>
        <w:t xml:space="preserve"> НПАОП 40.1-1.07-01; ДНАОП 1.1.10-1.07-01 </w:t>
      </w:r>
      <w:r/>
    </w:p>
    <w:p>
      <w:pPr>
        <w:jc w:val="both"/>
        <w:rPr>
          <w:rFonts w:ascii="Times New Roman" w:hAnsi="Times New Roman"/>
          <w:i/>
        </w:rPr>
      </w:pPr>
      <w:r>
        <w:rPr>
          <w:rFonts w:ascii="Times New Roman" w:hAnsi="Times New Roman"/>
          <w:i/>
        </w:rPr>
        <w:t xml:space="preserve"> ПРАВИЛА ЕКСПЛУАТАЦІЇ ЕЛЕКТРОЗАХИСНИХ ЗАСОБІВ</w:t>
      </w:r>
      <w:r/>
    </w:p>
    <w:p>
      <w:pPr>
        <w:jc w:val="both"/>
        <w:rPr>
          <w:rFonts w:ascii="Times New Roman" w:hAnsi="Times New Roman"/>
        </w:rPr>
      </w:pPr>
      <w:r>
        <w:rPr>
          <w:rFonts w:ascii="Times New Roman" w:hAnsi="Times New Roman"/>
        </w:rPr>
        <w:t xml:space="preserve"> ЗАТВЕРДЖЕНО наказ Міністерства праці та соціальної політики України 05.06.2001 р. № 253.</w:t>
      </w:r>
      <w:r/>
    </w:p>
    <w:p>
      <w:pPr>
        <w:jc w:val="both"/>
        <w:rPr>
          <w:rFonts w:ascii="Times New Roman" w:hAnsi="Times New Roman"/>
        </w:rPr>
      </w:pPr>
      <w:r>
        <w:rPr>
          <w:rFonts w:ascii="Times New Roman" w:hAnsi="Times New Roman"/>
        </w:rPr>
        <w:t xml:space="preserve">Додаток 10 до пункту 19.1.3 Правил експлуатації </w:t>
      </w:r>
      <w:r>
        <w:rPr>
          <w:rFonts w:ascii="Times New Roman" w:hAnsi="Times New Roman"/>
        </w:rPr>
        <w:t xml:space="preserve">електрозахисних</w:t>
      </w:r>
      <w:r>
        <w:rPr>
          <w:rFonts w:ascii="Times New Roman" w:hAnsi="Times New Roman"/>
        </w:rPr>
        <w:t xml:space="preserve"> засобів</w:t>
      </w:r>
      <w:r/>
    </w:p>
    <w:p>
      <w:pPr>
        <w:jc w:val="both"/>
        <w:rPr>
          <w:rFonts w:ascii="Times New Roman" w:hAnsi="Times New Roman"/>
        </w:rPr>
      </w:pPr>
      <w:r>
        <w:rPr>
          <w:rFonts w:ascii="Times New Roman" w:hAnsi="Times New Roman"/>
        </w:rPr>
        <w:t xml:space="preserve">Норми і терміни електричних експлуатаційних випробувань засобів захисту:</w:t>
      </w:r>
      <w:r/>
    </w:p>
    <w:tbl>
      <w:tblPr>
        <w:tblW w:w="9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6"/>
        <w:gridCol w:w="1583"/>
        <w:gridCol w:w="1583"/>
        <w:gridCol w:w="1583"/>
        <w:gridCol w:w="1063"/>
        <w:gridCol w:w="2126"/>
      </w:tblGrid>
      <w:tr>
        <w:trPr>
          <w:trHeight w:val="2144"/>
        </w:trPr>
        <w:tc>
          <w:tcPr>
            <w:tcW w:w="1706" w:type="dxa"/>
            <w:textDirection w:val="lrTb"/>
            <w:noWrap w:val="false"/>
          </w:tcPr>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t xml:space="preserve">Найменування засобів захисту</w:t>
            </w:r>
            <w:r/>
          </w:p>
        </w:tc>
        <w:tc>
          <w:tcPr>
            <w:tcW w:w="1583" w:type="dxa"/>
            <w:textDirection w:val="lrTb"/>
            <w:noWrap w:val="false"/>
          </w:tcPr>
          <w:p>
            <w:pPr>
              <w:jc w:val="both"/>
              <w:rPr>
                <w:rFonts w:ascii="Times New Roman" w:hAnsi="Times New Roman"/>
              </w:rPr>
            </w:pPr>
            <w:r>
              <w:rPr>
                <w:rFonts w:ascii="Times New Roman" w:hAnsi="Times New Roman"/>
              </w:rPr>
              <w:t xml:space="preserve">Номінальна напруга, для якої використовується </w:t>
            </w:r>
            <w:r>
              <w:rPr>
                <w:rFonts w:ascii="Times New Roman" w:hAnsi="Times New Roman"/>
              </w:rPr>
              <w:t xml:space="preserve">електрозахисний</w:t>
            </w:r>
            <w:r>
              <w:rPr>
                <w:rFonts w:ascii="Times New Roman" w:hAnsi="Times New Roman"/>
              </w:rPr>
              <w:t xml:space="preserve"> засіб, кВ</w:t>
            </w:r>
            <w:r/>
          </w:p>
        </w:tc>
        <w:tc>
          <w:tcPr>
            <w:tcW w:w="1583" w:type="dxa"/>
            <w:textDirection w:val="lrTb"/>
            <w:noWrap w:val="false"/>
          </w:tcPr>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t xml:space="preserve">Випробна напруга, кВ</w:t>
            </w:r>
            <w:r/>
          </w:p>
        </w:tc>
        <w:tc>
          <w:tcPr>
            <w:tcW w:w="1583" w:type="dxa"/>
            <w:textDirection w:val="lrTb"/>
            <w:noWrap w:val="false"/>
          </w:tcPr>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t xml:space="preserve">Тривалість </w:t>
            </w:r>
            <w:r>
              <w:rPr>
                <w:rFonts w:ascii="Times New Roman" w:hAnsi="Times New Roman"/>
              </w:rPr>
              <w:t xml:space="preserve">випро-бування</w:t>
            </w:r>
            <w:r>
              <w:rPr>
                <w:rFonts w:ascii="Times New Roman" w:hAnsi="Times New Roman"/>
              </w:rPr>
              <w:t xml:space="preserve">, с</w:t>
            </w:r>
            <w:r/>
          </w:p>
        </w:tc>
        <w:tc>
          <w:tcPr>
            <w:tcW w:w="1063" w:type="dxa"/>
            <w:textDirection w:val="lrTb"/>
            <w:noWrap w:val="false"/>
          </w:tcPr>
          <w:p>
            <w:pPr>
              <w:jc w:val="both"/>
              <w:rPr>
                <w:rFonts w:ascii="Times New Roman" w:hAnsi="Times New Roman"/>
              </w:rPr>
            </w:pPr>
            <w:r>
              <w:rPr>
                <w:rFonts w:ascii="Times New Roman" w:hAnsi="Times New Roman"/>
              </w:rPr>
              <w:t xml:space="preserve">Струм, що протікає через виріб, </w:t>
            </w:r>
            <w:r>
              <w:rPr>
                <w:rFonts w:ascii="Times New Roman" w:hAnsi="Times New Roman"/>
              </w:rPr>
              <w:t xml:space="preserve">мА</w:t>
            </w:r>
            <w:r>
              <w:rPr>
                <w:rFonts w:ascii="Times New Roman" w:hAnsi="Times New Roman"/>
              </w:rPr>
              <w:t xml:space="preserve">, не більше</w:t>
            </w:r>
            <w:r/>
          </w:p>
        </w:tc>
        <w:tc>
          <w:tcPr>
            <w:tcW w:w="2126" w:type="dxa"/>
            <w:textDirection w:val="lrTb"/>
            <w:noWrap w:val="false"/>
          </w:tcPr>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t xml:space="preserve">Періодичність ви-пробувань</w:t>
            </w:r>
            <w:r/>
          </w:p>
        </w:tc>
      </w:tr>
      <w:tr>
        <w:trPr>
          <w:trHeight w:val="2361"/>
        </w:trPr>
        <w:tc>
          <w:tcPr>
            <w:tcW w:w="1706" w:type="dxa"/>
            <w:textDirection w:val="lrTb"/>
            <w:noWrap w:val="false"/>
          </w:tcPr>
          <w:p>
            <w:pPr>
              <w:jc w:val="both"/>
              <w:rPr>
                <w:rFonts w:ascii="Times New Roman" w:hAnsi="Times New Roman"/>
              </w:rPr>
            </w:pPr>
            <w:r>
              <w:rPr>
                <w:rFonts w:ascii="Times New Roman" w:hAnsi="Times New Roman"/>
              </w:rPr>
              <w:t xml:space="preserve">Покажчики напруги до 100 В: – напруга індикації – перевірка справності схеми.</w:t>
            </w:r>
            <w:r/>
          </w:p>
        </w:tc>
        <w:tc>
          <w:tcPr>
            <w:tcW w:w="1583" w:type="dxa"/>
            <w:textDirection w:val="lrTb"/>
            <w:noWrap w:val="false"/>
          </w:tcPr>
          <w:p>
            <w:pPr>
              <w:jc w:val="both"/>
              <w:rPr>
                <w:rFonts w:ascii="Times New Roman" w:hAnsi="Times New Roman"/>
              </w:rPr>
            </w:pPr>
            <w:r>
              <w:rPr>
                <w:rFonts w:ascii="Times New Roman" w:hAnsi="Times New Roman"/>
              </w:rPr>
              <w:t xml:space="preserve">до 1 до 1 до 1 до 0,5 0,5 &lt; </w:t>
            </w:r>
            <w:r>
              <w:rPr>
                <w:rFonts w:ascii="Times New Roman" w:hAnsi="Times New Roman"/>
                <w:i/>
                <w:iCs/>
              </w:rPr>
              <w:t xml:space="preserve">U </w:t>
            </w:r>
            <w:r>
              <w:rPr>
                <w:rFonts w:ascii="Times New Roman" w:hAnsi="Times New Roman"/>
              </w:rPr>
              <w:t xml:space="preserve">&lt; 1</w:t>
            </w:r>
            <w:r/>
          </w:p>
        </w:tc>
        <w:tc>
          <w:tcPr>
            <w:tcW w:w="1583" w:type="dxa"/>
            <w:textDirection w:val="lrTb"/>
            <w:noWrap w:val="false"/>
          </w:tcPr>
          <w:p>
            <w:pPr>
              <w:jc w:val="both"/>
              <w:rPr>
                <w:rFonts w:ascii="Times New Roman" w:hAnsi="Times New Roman"/>
              </w:rPr>
            </w:pPr>
            <w:r>
              <w:rPr>
                <w:rFonts w:ascii="Times New Roman" w:hAnsi="Times New Roman"/>
              </w:rPr>
              <w:t xml:space="preserve">Не більше 0,09 Не менше 1,2 </w:t>
            </w:r>
            <w:r>
              <w:rPr>
                <w:rFonts w:ascii="Times New Roman" w:hAnsi="Times New Roman"/>
                <w:i/>
                <w:iCs/>
              </w:rPr>
              <w:t xml:space="preserve">U</w:t>
            </w:r>
            <w:r>
              <w:rPr>
                <w:rFonts w:ascii="Times New Roman" w:hAnsi="Times New Roman"/>
              </w:rPr>
              <w:t xml:space="preserve">роб.макс</w:t>
            </w:r>
            <w:r>
              <w:rPr>
                <w:rFonts w:ascii="Times New Roman" w:hAnsi="Times New Roman"/>
              </w:rPr>
              <w:t xml:space="preserve"> Не менше 1,2 </w:t>
            </w:r>
            <w:r>
              <w:rPr>
                <w:rFonts w:ascii="Times New Roman" w:hAnsi="Times New Roman"/>
                <w:i/>
                <w:iCs/>
              </w:rPr>
              <w:t xml:space="preserve">U</w:t>
            </w:r>
            <w:r>
              <w:rPr>
                <w:rFonts w:ascii="Times New Roman" w:hAnsi="Times New Roman"/>
              </w:rPr>
              <w:t xml:space="preserve">роб.макс</w:t>
            </w:r>
            <w:r>
              <w:rPr>
                <w:rFonts w:ascii="Times New Roman" w:hAnsi="Times New Roman"/>
              </w:rPr>
              <w:t xml:space="preserve"> 12</w:t>
            </w:r>
            <w:r/>
          </w:p>
        </w:tc>
        <w:tc>
          <w:tcPr>
            <w:tcW w:w="1583" w:type="dxa"/>
            <w:textDirection w:val="lrTb"/>
            <w:noWrap w:val="false"/>
          </w:tcPr>
          <w:p>
            <w:pPr>
              <w:jc w:val="both"/>
              <w:rPr>
                <w:rFonts w:ascii="Times New Roman" w:hAnsi="Times New Roman"/>
              </w:rPr>
            </w:pPr>
            <w:r>
              <w:rPr>
                <w:rFonts w:ascii="Times New Roman" w:hAnsi="Times New Roman"/>
              </w:rPr>
              <w:t xml:space="preserve">– 60 60 60 60</w:t>
            </w:r>
            <w:r/>
          </w:p>
        </w:tc>
        <w:tc>
          <w:tcPr>
            <w:tcW w:w="1063" w:type="dxa"/>
            <w:textDirection w:val="lrTb"/>
            <w:noWrap w:val="false"/>
          </w:tcPr>
          <w:p>
            <w:pPr>
              <w:jc w:val="both"/>
              <w:rPr>
                <w:rFonts w:ascii="Times New Roman" w:hAnsi="Times New Roman"/>
              </w:rPr>
            </w:pPr>
            <w:r>
              <w:rPr>
                <w:rFonts w:ascii="Times New Roman" w:hAnsi="Times New Roman"/>
              </w:rPr>
              <w:t xml:space="preserve">– 0,6 10 ––</w:t>
            </w:r>
            <w:r/>
          </w:p>
        </w:tc>
        <w:tc>
          <w:tcPr>
            <w:tcW w:w="2126" w:type="dxa"/>
            <w:textDirection w:val="lrTb"/>
            <w:noWrap w:val="false"/>
          </w:tcPr>
          <w:p>
            <w:pPr>
              <w:jc w:val="both"/>
              <w:rPr>
                <w:rFonts w:ascii="Times New Roman" w:hAnsi="Times New Roman"/>
              </w:rPr>
            </w:pPr>
            <w:r>
              <w:rPr>
                <w:rFonts w:ascii="Times New Roman" w:hAnsi="Times New Roman"/>
              </w:rPr>
              <w:t xml:space="preserve">1 раз на 12 міс.</w:t>
            </w:r>
            <w:r/>
          </w:p>
        </w:tc>
      </w:tr>
      <w:tr>
        <w:trPr>
          <w:trHeight w:val="1092"/>
        </w:trPr>
        <w:tc>
          <w:tcPr>
            <w:tcW w:w="1706" w:type="dxa"/>
            <w:textDirection w:val="lrTb"/>
            <w:noWrap w:val="false"/>
          </w:tcPr>
          <w:p>
            <w:pPr>
              <w:jc w:val="both"/>
              <w:rPr>
                <w:rFonts w:ascii="Times New Roman" w:hAnsi="Times New Roman"/>
              </w:rPr>
            </w:pPr>
            <w:r>
              <w:rPr>
                <w:rFonts w:ascii="Times New Roman" w:hAnsi="Times New Roman"/>
              </w:rPr>
              <w:t xml:space="preserve">Гумові діелектричні рукавички</w:t>
            </w:r>
            <w:r/>
          </w:p>
        </w:tc>
        <w:tc>
          <w:tcPr>
            <w:tcW w:w="1583" w:type="dxa"/>
            <w:textDirection w:val="lrTb"/>
            <w:noWrap w:val="false"/>
          </w:tcPr>
          <w:p>
            <w:pPr>
              <w:jc w:val="both"/>
              <w:rPr>
                <w:rFonts w:ascii="Times New Roman" w:hAnsi="Times New Roman"/>
              </w:rPr>
            </w:pPr>
            <w:r>
              <w:rPr>
                <w:rFonts w:ascii="Times New Roman" w:hAnsi="Times New Roman"/>
              </w:rPr>
              <w:t xml:space="preserve">Всі класи </w:t>
            </w:r>
            <w:r>
              <w:rPr>
                <w:rFonts w:ascii="Times New Roman" w:hAnsi="Times New Roman"/>
              </w:rPr>
              <w:t xml:space="preserve">напруг</w:t>
            </w:r>
            <w:r/>
          </w:p>
        </w:tc>
        <w:tc>
          <w:tcPr>
            <w:tcW w:w="1583" w:type="dxa"/>
            <w:textDirection w:val="lrTb"/>
            <w:noWrap w:val="false"/>
          </w:tcPr>
          <w:p>
            <w:pPr>
              <w:jc w:val="both"/>
              <w:rPr>
                <w:rFonts w:ascii="Times New Roman" w:hAnsi="Times New Roman"/>
              </w:rPr>
            </w:pPr>
            <w:r>
              <w:rPr>
                <w:rFonts w:ascii="Times New Roman" w:hAnsi="Times New Roman"/>
              </w:rPr>
              <w:t xml:space="preserve">6</w:t>
            </w:r>
            <w:r/>
          </w:p>
        </w:tc>
        <w:tc>
          <w:tcPr>
            <w:tcW w:w="1583" w:type="dxa"/>
            <w:textDirection w:val="lrTb"/>
            <w:noWrap w:val="false"/>
          </w:tcPr>
          <w:p>
            <w:pPr>
              <w:jc w:val="both"/>
              <w:rPr>
                <w:rFonts w:ascii="Times New Roman" w:hAnsi="Times New Roman"/>
              </w:rPr>
            </w:pPr>
            <w:r>
              <w:rPr>
                <w:rFonts w:ascii="Times New Roman" w:hAnsi="Times New Roman"/>
              </w:rPr>
              <w:t xml:space="preserve">60</w:t>
            </w:r>
            <w:r/>
          </w:p>
        </w:tc>
        <w:tc>
          <w:tcPr>
            <w:tcW w:w="1063" w:type="dxa"/>
            <w:textDirection w:val="lrTb"/>
            <w:noWrap w:val="false"/>
          </w:tcPr>
          <w:p>
            <w:pPr>
              <w:jc w:val="both"/>
              <w:rPr>
                <w:rFonts w:ascii="Times New Roman" w:hAnsi="Times New Roman"/>
              </w:rPr>
            </w:pPr>
            <w:r>
              <w:rPr>
                <w:rFonts w:ascii="Times New Roman" w:hAnsi="Times New Roman"/>
              </w:rPr>
              <w:t xml:space="preserve">6</w:t>
            </w:r>
            <w:r/>
          </w:p>
        </w:tc>
        <w:tc>
          <w:tcPr>
            <w:tcW w:w="2126" w:type="dxa"/>
            <w:textDirection w:val="lrTb"/>
            <w:noWrap w:val="false"/>
          </w:tcPr>
          <w:p>
            <w:pPr>
              <w:jc w:val="both"/>
              <w:rPr>
                <w:rFonts w:ascii="Times New Roman" w:hAnsi="Times New Roman"/>
              </w:rPr>
            </w:pPr>
            <w:r>
              <w:rPr>
                <w:rFonts w:ascii="Times New Roman" w:hAnsi="Times New Roman"/>
              </w:rPr>
              <w:t xml:space="preserve">1 раз на 6 міс.</w:t>
            </w:r>
            <w:r/>
          </w:p>
        </w:tc>
      </w:tr>
      <w:tr>
        <w:trPr>
          <w:trHeight w:val="1350"/>
        </w:trPr>
        <w:tc>
          <w:tcPr>
            <w:tcW w:w="1706" w:type="dxa"/>
            <w:textDirection w:val="lrTb"/>
            <w:noWrap w:val="false"/>
          </w:tcPr>
          <w:p>
            <w:pPr>
              <w:ind w:right="-193"/>
              <w:jc w:val="both"/>
              <w:tabs>
                <w:tab w:val="left" w:pos="1125" w:leader="none"/>
              </w:tabs>
              <w:rPr>
                <w:rFonts w:ascii="Times New Roman" w:hAnsi="Times New Roman"/>
              </w:rPr>
            </w:pPr>
            <w:r>
              <w:rPr>
                <w:rFonts w:ascii="Times New Roman" w:hAnsi="Times New Roman"/>
              </w:rPr>
              <w:t xml:space="preserve">Ізолювальний інструмент з одношаровою ізоляцією</w:t>
            </w:r>
            <w:r/>
          </w:p>
        </w:tc>
        <w:tc>
          <w:tcPr>
            <w:tcW w:w="1583" w:type="dxa"/>
            <w:textDirection w:val="lrTb"/>
            <w:noWrap w:val="false"/>
          </w:tcPr>
          <w:p>
            <w:pPr>
              <w:jc w:val="both"/>
              <w:rPr>
                <w:rFonts w:ascii="Times New Roman" w:hAnsi="Times New Roman"/>
              </w:rPr>
            </w:pPr>
            <w:r>
              <w:rPr>
                <w:rFonts w:ascii="Times New Roman" w:hAnsi="Times New Roman"/>
              </w:rPr>
              <w:t xml:space="preserve">до 1</w:t>
            </w:r>
            <w:r/>
          </w:p>
        </w:tc>
        <w:tc>
          <w:tcPr>
            <w:tcW w:w="1583" w:type="dxa"/>
            <w:textDirection w:val="lrTb"/>
            <w:noWrap w:val="false"/>
          </w:tcPr>
          <w:p>
            <w:pPr>
              <w:ind w:left="-3450"/>
              <w:jc w:val="both"/>
              <w:rPr>
                <w:rFonts w:ascii="Times New Roman" w:hAnsi="Times New Roman"/>
              </w:rPr>
            </w:pPr>
            <w:r>
              <w:rPr>
                <w:rFonts w:ascii="Times New Roman" w:hAnsi="Times New Roman"/>
              </w:rPr>
              <w:t xml:space="preserve">2</w:t>
            </w:r>
            <w:r/>
          </w:p>
        </w:tc>
        <w:tc>
          <w:tcPr>
            <w:tcW w:w="1583" w:type="dxa"/>
            <w:textDirection w:val="lrTb"/>
            <w:noWrap w:val="false"/>
          </w:tcPr>
          <w:p>
            <w:pPr>
              <w:jc w:val="both"/>
              <w:rPr>
                <w:rFonts w:ascii="Times New Roman" w:hAnsi="Times New Roman"/>
              </w:rPr>
            </w:pPr>
            <w:r>
              <w:rPr>
                <w:rFonts w:ascii="Times New Roman" w:hAnsi="Times New Roman"/>
              </w:rPr>
              <w:t xml:space="preserve">60</w:t>
            </w:r>
            <w:r/>
          </w:p>
        </w:tc>
        <w:tc>
          <w:tcPr>
            <w:tcW w:w="1063" w:type="dxa"/>
            <w:textDirection w:val="lrTb"/>
            <w:noWrap w:val="false"/>
          </w:tcPr>
          <w:p>
            <w:pPr>
              <w:jc w:val="both"/>
              <w:rPr>
                <w:rFonts w:ascii="Times New Roman" w:hAnsi="Times New Roman"/>
              </w:rPr>
            </w:pPr>
            <w:r>
              <w:rPr>
                <w:rFonts w:ascii="Times New Roman" w:hAnsi="Times New Roman"/>
              </w:rPr>
              <w:t xml:space="preserve">–</w:t>
            </w:r>
            <w:r/>
          </w:p>
        </w:tc>
        <w:tc>
          <w:tcPr>
            <w:tcW w:w="2126" w:type="dxa"/>
            <w:textDirection w:val="lrTb"/>
            <w:noWrap w:val="false"/>
          </w:tcPr>
          <w:p>
            <w:pPr>
              <w:jc w:val="both"/>
              <w:rPr>
                <w:rFonts w:ascii="Times New Roman" w:hAnsi="Times New Roman"/>
              </w:rPr>
            </w:pPr>
            <w:r>
              <w:rPr>
                <w:rFonts w:ascii="Times New Roman" w:hAnsi="Times New Roman"/>
              </w:rPr>
              <w:t xml:space="preserve">1 раз на 12 міс.</w:t>
            </w:r>
            <w:r/>
          </w:p>
        </w:tc>
      </w:tr>
      <w:tr>
        <w:trPr>
          <w:trHeight w:val="688"/>
        </w:trPr>
        <w:tc>
          <w:tcPr>
            <w:tcW w:w="1706" w:type="dxa"/>
            <w:textDirection w:val="lrTb"/>
            <w:noWrap w:val="false"/>
          </w:tcPr>
          <w:p>
            <w:pPr>
              <w:ind w:right="-193"/>
              <w:jc w:val="both"/>
              <w:tabs>
                <w:tab w:val="left" w:pos="1125" w:leader="none"/>
              </w:tabs>
              <w:rPr>
                <w:rFonts w:ascii="Times New Roman" w:hAnsi="Times New Roman"/>
              </w:rPr>
            </w:pPr>
            <w:r>
              <w:rPr>
                <w:rFonts w:ascii="Times New Roman" w:hAnsi="Times New Roman"/>
              </w:rPr>
              <w:t xml:space="preserve">Запобіжні      </w:t>
            </w:r>
            <w:r>
              <w:rPr>
                <w:rFonts w:ascii="Times New Roman" w:hAnsi="Times New Roman"/>
              </w:rPr>
              <w:t xml:space="preserve">пояса</w:t>
            </w:r>
            <w:r/>
          </w:p>
        </w:tc>
        <w:tc>
          <w:tcPr>
            <w:tcW w:w="1583" w:type="dxa"/>
            <w:textDirection w:val="lrTb"/>
            <w:noWrap w:val="false"/>
          </w:tcPr>
          <w:p>
            <w:pPr>
              <w:jc w:val="both"/>
              <w:rPr>
                <w:rFonts w:ascii="Times New Roman" w:hAnsi="Times New Roman"/>
              </w:rPr>
            </w:pPr>
            <w:r>
              <w:rPr>
                <w:rFonts w:ascii="Times New Roman" w:hAnsi="Times New Roman"/>
              </w:rPr>
              <w:t xml:space="preserve">-</w:t>
            </w:r>
            <w:r/>
          </w:p>
        </w:tc>
        <w:tc>
          <w:tcPr>
            <w:tcW w:w="1583" w:type="dxa"/>
            <w:textDirection w:val="lrTb"/>
            <w:noWrap w:val="false"/>
          </w:tcPr>
          <w:p>
            <w:pPr>
              <w:ind w:left="-3450"/>
              <w:jc w:val="both"/>
              <w:rPr>
                <w:rFonts w:ascii="Times New Roman" w:hAnsi="Times New Roman"/>
              </w:rPr>
            </w:pPr>
            <w:r>
              <w:rPr>
                <w:rFonts w:ascii="Times New Roman" w:hAnsi="Times New Roman"/>
              </w:rPr>
            </w:r>
            <w:r/>
          </w:p>
        </w:tc>
        <w:tc>
          <w:tcPr>
            <w:tcW w:w="1583" w:type="dxa"/>
            <w:textDirection w:val="lrTb"/>
            <w:noWrap w:val="false"/>
          </w:tcPr>
          <w:p>
            <w:pPr>
              <w:jc w:val="both"/>
              <w:rPr>
                <w:rFonts w:ascii="Times New Roman" w:hAnsi="Times New Roman"/>
              </w:rPr>
            </w:pPr>
            <w:r>
              <w:rPr>
                <w:rFonts w:ascii="Times New Roman" w:hAnsi="Times New Roman"/>
              </w:rPr>
            </w:r>
            <w:r/>
          </w:p>
        </w:tc>
        <w:tc>
          <w:tcPr>
            <w:tcW w:w="1063" w:type="dxa"/>
            <w:textDirection w:val="lrTb"/>
            <w:noWrap w:val="false"/>
          </w:tcPr>
          <w:p>
            <w:pPr>
              <w:jc w:val="both"/>
              <w:rPr>
                <w:rFonts w:ascii="Times New Roman" w:hAnsi="Times New Roman"/>
              </w:rPr>
            </w:pPr>
            <w:r>
              <w:rPr>
                <w:rFonts w:ascii="Times New Roman" w:hAnsi="Times New Roman"/>
              </w:rPr>
              <w:t xml:space="preserve">-</w:t>
            </w:r>
            <w:r/>
          </w:p>
        </w:tc>
        <w:tc>
          <w:tcPr>
            <w:tcW w:w="2126" w:type="dxa"/>
            <w:textDirection w:val="lrTb"/>
            <w:noWrap w:val="false"/>
          </w:tcPr>
          <w:p>
            <w:pPr>
              <w:jc w:val="both"/>
              <w:rPr>
                <w:rFonts w:ascii="Times New Roman" w:hAnsi="Times New Roman"/>
              </w:rPr>
            </w:pPr>
            <w:r>
              <w:rPr>
                <w:rFonts w:ascii="Times New Roman" w:hAnsi="Times New Roman"/>
              </w:rPr>
              <w:t xml:space="preserve">1 раз на 6 міс.</w:t>
            </w:r>
            <w:r/>
          </w:p>
        </w:tc>
      </w:tr>
    </w:tbl>
    <w:p>
      <w:pPr>
        <w:jc w:val="both"/>
        <w:rPr>
          <w:rFonts w:ascii="Times New Roman" w:hAnsi="Times New Roman"/>
        </w:rPr>
      </w:pPr>
      <w:r>
        <w:rPr>
          <w:rFonts w:ascii="Times New Roman" w:hAnsi="Times New Roman"/>
        </w:rPr>
      </w:r>
      <w:r/>
    </w:p>
    <w:p>
      <w:pPr>
        <w:jc w:val="both"/>
        <w:rPr>
          <w:rFonts w:ascii="Times New Roman" w:hAnsi="Times New Roman"/>
        </w:rPr>
      </w:pPr>
      <w:r>
        <w:rPr>
          <w:rFonts w:ascii="Times New Roman" w:hAnsi="Times New Roman"/>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НПАОП 40.1-1.07-01 Правила експлуатації </w:t>
      </w:r>
      <w:r>
        <w:rPr>
          <w:rFonts w:ascii="Times New Roman" w:hAnsi="Times New Roman" w:cs="Times New Roman"/>
          <w:sz w:val="24"/>
          <w:szCs w:val="24"/>
        </w:rPr>
        <w:t xml:space="preserve">електрозахисних</w:t>
      </w:r>
      <w:r>
        <w:rPr>
          <w:rFonts w:ascii="Times New Roman" w:hAnsi="Times New Roman" w:cs="Times New Roman"/>
          <w:sz w:val="24"/>
          <w:szCs w:val="24"/>
        </w:rPr>
        <w:t xml:space="preserve"> засобів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Ізолювальні штанги. Випробування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 Випробування оперативних та вимірювальних штанг</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21.1.1. Під час експлуатаційних випробувань ізолювальну частину оперативних і вимірювальних штанг необхідно випробовувати згідно з вимогами пункту 20.1.3 цих Правил підвищеною напругою, прикладеною до робочої частини штанги і тимчасового електроду, який</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накладають біля обмежувального кільця з боку ізолювальної частини.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21.1.2. Ізолювальні оперативні штанги напругою до 1000 В під час експлуатаційних випробувань повинні витримувати протягом 300 с підвищену напругу 2 кВ.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Ізолювальні оперативні та вимірювальні штанги повинні протягом 300 с витримувати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підвищену напругу змінного струму частотою 50 </w:t>
      </w:r>
      <w:r>
        <w:rPr>
          <w:rFonts w:ascii="Times New Roman" w:hAnsi="Times New Roman" w:cs="Times New Roman"/>
          <w:sz w:val="24"/>
          <w:szCs w:val="24"/>
        </w:rPr>
        <w:t xml:space="preserve">Гц</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3-кратну лінійну, але не менше 40 кВ – штанги напругою від 1 до 35 кВ включно;</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3-кратну фазну – штанги напругою 110 кВ і більше.</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21.1.3 Періодичність проведення випробувань оперативних штанг повинна бути 1 раз</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24 міс., вимірювальних штанг – 1 раз на 12 міс.</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НПАОП 40.1-1.07-01 Правила експлуатації </w:t>
      </w:r>
      <w:r>
        <w:rPr>
          <w:rFonts w:ascii="Times New Roman" w:hAnsi="Times New Roman" w:cs="Times New Roman"/>
          <w:sz w:val="24"/>
          <w:szCs w:val="24"/>
        </w:rPr>
        <w:t xml:space="preserve">електрозахисних</w:t>
      </w:r>
      <w:r>
        <w:rPr>
          <w:rFonts w:ascii="Times New Roman" w:hAnsi="Times New Roman" w:cs="Times New Roman"/>
          <w:sz w:val="24"/>
          <w:szCs w:val="24"/>
        </w:rPr>
        <w:t xml:space="preserve"> засобів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15.9. Складені ізолювальні драбини для ВРПН</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15.9.1. В електроустановках для піднімання працівників на опори ПЛ напругою від 0,38</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35 кВ і безпечного виконання ремонтних робіт за технологією ВРПН необхідно застосовувати складені ізолювальні драбини для ВРПН.</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15.9.2. Складені ізолювальні драбини для ВРПН та їх окремі елементи повинні виготовлятись з дотриманням таких вимог:</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тятиви і щаблі верхніх модулів драбини необхідно виготовляти з склопластикових</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профілів з пінополіуретановим наповнювачем;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склопластикові профілі тятив необхідно покривати лаком, емаллю червоного або оранжевого кольору;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зовнішня поверхня щаблів драбини повинна бути шершавою;</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модулі драбин повинні мати з'єднувальні шипи і стакани – для складання їх в єдину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конструкцію;</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шипи і стакани необхідно надійно кріпити до торців тятив для забезпечення стійкості;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для кріплення модулів до опори необхідно передбачати підпори з ізоляційного матеріалу;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для кріплення до опори модулі повинні мати стяжні паси та </w:t>
      </w:r>
      <w:r>
        <w:rPr>
          <w:rFonts w:ascii="Times New Roman" w:hAnsi="Times New Roman" w:cs="Times New Roman"/>
          <w:sz w:val="24"/>
          <w:szCs w:val="24"/>
        </w:rPr>
        <w:t xml:space="preserve">фіксувальні</w:t>
      </w:r>
      <w:r>
        <w:rPr>
          <w:rFonts w:ascii="Times New Roman" w:hAnsi="Times New Roman" w:cs="Times New Roman"/>
          <w:sz w:val="24"/>
          <w:szCs w:val="24"/>
        </w:rPr>
        <w:t xml:space="preserve"> пряжки.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 фізико-механічними показниками кожний модуль драбини, з яких вона повинна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складатись в єдину конструкцію з рекомендованою довжиною 1,2 або 2,1 м, повинен відповідати вимогам, наведеним в таблиці 15.3.</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Таблиця 15.3.</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Фізико-механічні показники модулів драбин</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Показник Значення величини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Стріла прогину щабля під статичним навантаженням 2600 Н, мм,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більше 7,5</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Випробна напруга модуля драбини завдовжки 300 мм, кВ, не</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менше</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НПАОП 0.00-1.71-13 ПРАВИЛА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охорони праці під час роботи з інструментом та пристроями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ЗАТВЕРДЖЕНО</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Наказ Міністерства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енергетики та вугільної</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промисловості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19.12.2013  № 966</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7.27. Усі переносні драбини та стрем'янки після виготовлення їх та капітального ремонту, а також періодично під час експлуатації повинні випробовуватись статичним навантаженням: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раз на 12 міс. - металеві драбини та стрем'янки;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раз на 6 міс. - дерев'яні драбини та стрем'янки;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раз на 6 міс. - підвісні мотузкові драбини.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7.28. Під час проведення статичного випробування приставні та розсувні дерев'яні та металеві драбини повинні </w:t>
      </w:r>
      <w:r>
        <w:rPr>
          <w:rFonts w:ascii="Times New Roman" w:hAnsi="Times New Roman" w:cs="Times New Roman"/>
          <w:sz w:val="24"/>
          <w:szCs w:val="24"/>
        </w:rPr>
        <w:t xml:space="preserve">установлюватись</w:t>
      </w:r>
      <w:r>
        <w:rPr>
          <w:rFonts w:ascii="Times New Roman" w:hAnsi="Times New Roman" w:cs="Times New Roman"/>
          <w:sz w:val="24"/>
          <w:szCs w:val="24"/>
        </w:rPr>
        <w:t xml:space="preserve"> на твердій основі і приставлятись до стіни або конструкції під кутом 60° до горизонтальної площини; триколійні драбини повинні бути повністю розсунуті.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7.29. Випробування драбин та стрем'янок повинно проводитись підвішуванням до їхніх щаблів та тятив статичного вантажу. Тривалість кожного випробування - 2 хв.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7.30. Випробування на міцність щабля розсувної драбини повинно проводитись підвішуванням вантажу 2 </w:t>
      </w:r>
      <w:r>
        <w:rPr>
          <w:rFonts w:ascii="Times New Roman" w:hAnsi="Times New Roman" w:cs="Times New Roman"/>
          <w:sz w:val="24"/>
          <w:szCs w:val="24"/>
        </w:rPr>
        <w:t xml:space="preserve">кН</w:t>
      </w:r>
      <w:r>
        <w:rPr>
          <w:rFonts w:ascii="Times New Roman" w:hAnsi="Times New Roman" w:cs="Times New Roman"/>
          <w:sz w:val="24"/>
          <w:szCs w:val="24"/>
        </w:rPr>
        <w:t xml:space="preserve"> (200 </w:t>
      </w:r>
      <w:r>
        <w:rPr>
          <w:rFonts w:ascii="Times New Roman" w:hAnsi="Times New Roman" w:cs="Times New Roman"/>
          <w:sz w:val="24"/>
          <w:szCs w:val="24"/>
        </w:rPr>
        <w:t xml:space="preserve">кгс</w:t>
      </w:r>
      <w:r>
        <w:rPr>
          <w:rFonts w:ascii="Times New Roman" w:hAnsi="Times New Roman" w:cs="Times New Roman"/>
          <w:sz w:val="24"/>
          <w:szCs w:val="24"/>
        </w:rPr>
        <w:t xml:space="preserve">) всередині незміцненого щабля нижнього коліна драбини.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Тятиви повинні випробовуватись у два прийоми: спочатку до кожної з них повинен посередині прикладатись вантаж 1 </w:t>
      </w:r>
      <w:r>
        <w:rPr>
          <w:rFonts w:ascii="Times New Roman" w:hAnsi="Times New Roman" w:cs="Times New Roman"/>
          <w:sz w:val="24"/>
          <w:szCs w:val="24"/>
        </w:rPr>
        <w:t xml:space="preserve">кН</w:t>
      </w:r>
      <w:r>
        <w:rPr>
          <w:rFonts w:ascii="Times New Roman" w:hAnsi="Times New Roman" w:cs="Times New Roman"/>
          <w:sz w:val="24"/>
          <w:szCs w:val="24"/>
        </w:rPr>
        <w:t xml:space="preserve"> (100 </w:t>
      </w:r>
      <w:r>
        <w:rPr>
          <w:rFonts w:ascii="Times New Roman" w:hAnsi="Times New Roman" w:cs="Times New Roman"/>
          <w:sz w:val="24"/>
          <w:szCs w:val="24"/>
        </w:rPr>
        <w:t xml:space="preserve">кгс</w:t>
      </w:r>
      <w:r>
        <w:rPr>
          <w:rFonts w:ascii="Times New Roman" w:hAnsi="Times New Roman" w:cs="Times New Roman"/>
          <w:sz w:val="24"/>
          <w:szCs w:val="24"/>
        </w:rPr>
        <w:t xml:space="preserve">) потім усі коліна повинні випробуватись почергово. Після зняття вантажу до обох тятив у середній частині середнього коліна повинен підвішуватись вантаж 2 </w:t>
      </w:r>
      <w:r>
        <w:rPr>
          <w:rFonts w:ascii="Times New Roman" w:hAnsi="Times New Roman" w:cs="Times New Roman"/>
          <w:sz w:val="24"/>
          <w:szCs w:val="24"/>
        </w:rPr>
        <w:t xml:space="preserve">кН</w:t>
      </w:r>
      <w:r>
        <w:rPr>
          <w:rFonts w:ascii="Times New Roman" w:hAnsi="Times New Roman" w:cs="Times New Roman"/>
          <w:sz w:val="24"/>
          <w:szCs w:val="24"/>
        </w:rPr>
        <w:t xml:space="preserve"> (200 </w:t>
      </w:r>
      <w:r>
        <w:rPr>
          <w:rFonts w:ascii="Times New Roman" w:hAnsi="Times New Roman" w:cs="Times New Roman"/>
          <w:sz w:val="24"/>
          <w:szCs w:val="24"/>
        </w:rPr>
        <w:t xml:space="preserve">кгс</w:t>
      </w:r>
      <w:r>
        <w:rPr>
          <w:rFonts w:ascii="Times New Roman" w:hAnsi="Times New Roman" w:cs="Times New Roman"/>
          <w:sz w:val="24"/>
          <w:szCs w:val="24"/>
        </w:rPr>
        <w:t xml:space="preserve">) (вантаж можна підвішувати до середнього щабля).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Коліна драбини, що розсуваються, після проведення випробування повинні вільно опускатись та підніматись.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Після надання послуг Учасник-переможець повинен надати відповідні документи, що посвідчують проходження засобами індивідуального захисту повірки. </w:t>
      </w:r>
      <w:r>
        <w:rPr>
          <w:rFonts w:ascii="Times New Roman" w:hAnsi="Times New Roman" w:cs="Times New Roman"/>
          <w:b/>
          <w:bCs/>
          <w:i/>
          <w:iCs/>
          <w:sz w:val="24"/>
          <w:szCs w:val="24"/>
        </w:rPr>
        <w:t xml:space="preserve">(надати гарантійний лист)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4 130,00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чотири тисячі сто тридцять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2024-05-07T13:20:33Z</dcterms:modified>
</cp:coreProperties>
</file>