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007628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Послуга обов’язкового страхування цивільно-правової відповідальності власників наземних транспортних засобів за кодом  CPV за ЄЗС ДК 021:2015: 66510000-8 «Страхові послуги»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транспортних засобів, що підлягають обов’язковому страхуванню цивільно-правової відповідальності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99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1277"/>
        <w:gridCol w:w="2553"/>
        <w:gridCol w:w="993"/>
        <w:gridCol w:w="1135"/>
        <w:gridCol w:w="145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Номерний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кузова (шасі) / VIN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Об’єм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двигуна</w:t>
            </w:r>
            <w:r/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куб.см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Місце реєстрації ТЗ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страхування</w:t>
            </w:r>
            <w:r/>
          </w:p>
          <w:p>
            <w:pPr>
              <w:ind w:left="-107" w:right="-108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JTNBE40K003172249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Nissan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2КС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JN1TANT31U0200457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09.10.2023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Octavia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АА0553ТА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ТМВВЕ41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538702971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18.10.2023</w:t>
            </w:r>
            <w:r/>
          </w:p>
        </w:tc>
      </w:tr>
      <w:tr>
        <w:trPr>
          <w:trHeight w:val="1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Passat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КА9081ІР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WVWZZZ3BZ5P035826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14.12.2023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ddy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КА9082ІР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WV2ZZZ2KZ8X042233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26.11.2023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Ducato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КА7301НР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ZFA25000002212296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А-091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Y7BA091004B000075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2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29.10.2023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Технічні, якісні, кількісні та інші вимоги до предмета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 закупівлі — послуги зі страхування транспортних засобів.</w:t>
      </w:r>
      <w:r/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 Строк дії страхового полюса </w:t>
      </w:r>
      <w:r>
        <w:rPr>
          <w:rFonts w:ascii="Times New Roman" w:hAnsi="Times New Roman" w:cs="Times New Roman"/>
          <w:sz w:val="24"/>
          <w:szCs w:val="24"/>
        </w:rPr>
        <w:t xml:space="preserve">—</w:t>
      </w:r>
      <w:r>
        <w:rPr>
          <w:rFonts w:ascii="Times New Roman" w:hAnsi="Times New Roman" w:eastAsia="Calibri" w:cs="Times New Roman"/>
          <w:sz w:val="24"/>
          <w:szCs w:val="24"/>
        </w:rPr>
        <w:t xml:space="preserve"> 1 рік.</w:t>
      </w:r>
      <w:r/>
    </w:p>
    <w:p>
      <w:pPr>
        <w:ind w:firstLine="567"/>
        <w:jc w:val="both"/>
        <w:spacing w:after="0" w:line="240" w:lineRule="auto"/>
        <w:rPr>
          <w:rStyle w:val="702"/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Оформлення полісів </w:t>
      </w:r>
      <w:r>
        <w:rPr>
          <w:rFonts w:ascii="Times New Roman" w:hAnsi="Times New Roman" w:cs="Times New Roman"/>
          <w:sz w:val="24"/>
          <w:szCs w:val="24"/>
        </w:rPr>
        <w:t xml:space="preserve">обов’язкового страхування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 франшизою 0 (нуль) гривень.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702"/>
          <w:rFonts w:ascii="Times New Roman" w:hAnsi="Times New Roman" w:cs="Times New Roman"/>
          <w:iCs/>
          <w:sz w:val="24"/>
          <w:szCs w:val="24"/>
        </w:rPr>
        <w:t xml:space="preserve">- Обов’язкове представництво страховика у м. Києві.</w:t>
      </w:r>
      <w:r/>
    </w:p>
    <w:p>
      <w:pPr>
        <w:ind w:left="567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Вимоги до Учасника: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Статутний капітал не нижче 100 млн. грн.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 Досвід страхування – не менше 10 років.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За офіційною оцінкою діяльності страховиків-членів Моторно-Транспортного Бюро України  мати оцінку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«високий рівень» (зелений колір) за 2021р, 2022р. та 1,2 квартали 2023 року за показниками: «Якість врегулювання збитків», «Рівень скарг від потерпілих та страхувальників», «Загальна оцінка діяльності страховика» (спосіб перевірки – офіційний сайт МТСБУ).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 Входження в ТОП 10 страхових компаній України за показниками: «Страхові платежі» та «Страхові виплати»  по ОСЦПВВНТЗ за 6 місяців 2023 року.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 Частка вимог за шкоду майну, врегульованих до 90 днів від дати ДТП до останньої виплати складає не менше 80%  за 1 та 2 квартали 2023 року згідно даних МТСБУ.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26 534,00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тридцять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2023-10-06T14:54:13Z</dcterms:modified>
</cp:coreProperties>
</file>