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Послуги з</w:t>
      </w:r>
      <w:r>
        <w:rPr>
          <w:b w:val="false"/>
          <w:bCs w:val="false"/>
          <w:spacing w:val="1"/>
          <w:sz w:val="24"/>
          <w:szCs w:val="24"/>
        </w:rPr>
        <w:t xml:space="preserve"> </w:t>
      </w:r>
      <w:r>
        <w:rPr>
          <w:b w:val="false"/>
          <w:bCs w:val="false"/>
          <w:sz w:val="24"/>
          <w:szCs w:val="24"/>
        </w:rPr>
        <w:t xml:space="preserve">технічної підтримки та обслуговування гіперконвергентного обчислюванного кластеру інформаційно-комунікаційної системи 112, </w:t>
      </w:r>
      <w:r>
        <w:rPr>
          <w:b w:val="false"/>
          <w:bCs w:val="false"/>
          <w:spacing w:val="1"/>
          <w:sz w:val="24"/>
          <w:szCs w:val="24"/>
        </w:rPr>
        <w:t>налаштування та виправлення виявлених несправностей</w:t>
      </w:r>
      <w:r>
        <w:rPr>
          <w:b w:val="false"/>
          <w:bCs w:val="false"/>
          <w:sz w:val="24"/>
          <w:szCs w:val="24"/>
        </w:rPr>
        <w:t xml:space="preserve"> та продовження сервісної підтримки за кодом  ДК 021:2015: 72250000-2 Послуги, пов’язані із системами та підтримкою</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UA-2024-09-18-013497-а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Послуги з</w:t>
      </w:r>
      <w:r>
        <w:rPr>
          <w:rFonts w:cs="Times New Roman" w:ascii="Times New Roman" w:hAnsi="Times New Roman"/>
          <w:spacing w:val="1"/>
          <w:sz w:val="24"/>
          <w:szCs w:val="24"/>
        </w:rPr>
        <w:t xml:space="preserve"> </w:t>
      </w:r>
      <w:r>
        <w:rPr>
          <w:rFonts w:cs="Times New Roman" w:ascii="Times New Roman" w:hAnsi="Times New Roman"/>
          <w:sz w:val="24"/>
          <w:szCs w:val="24"/>
        </w:rPr>
        <w:t xml:space="preserve">технічної підтримки та обслуговування гіперконвергентного обчислюванного кластеру інформаційно-комунікаційної системи 112, </w:t>
      </w:r>
      <w:r>
        <w:rPr>
          <w:rFonts w:cs="Times New Roman" w:ascii="Times New Roman" w:hAnsi="Times New Roman"/>
          <w:spacing w:val="1"/>
          <w:sz w:val="24"/>
          <w:szCs w:val="24"/>
        </w:rPr>
        <w:t>налаштування та виправлення виявлених несправностей</w:t>
      </w:r>
      <w:r>
        <w:rPr>
          <w:rFonts w:cs="Times New Roman" w:ascii="Times New Roman" w:hAnsi="Times New Roman"/>
          <w:sz w:val="24"/>
          <w:szCs w:val="24"/>
        </w:rPr>
        <w:t xml:space="preserve"> та продовження сервісної підтримки за кодом  ДК 021:2015: 72250000-2 Послуги, пов’язані із системами та підтримкою</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240" w:before="0" w:after="0"/>
        <w:ind w:firstLine="850"/>
        <w:jc w:val="both"/>
        <w:rPr>
          <w:rFonts w:ascii="Times New Roman" w:hAnsi="Times New Roman" w:cs="Times New Roman"/>
          <w:sz w:val="24"/>
          <w:szCs w:val="24"/>
        </w:rPr>
      </w:pPr>
      <w:r>
        <w:rPr>
          <w:rFonts w:cs="Times New Roman" w:ascii="Times New Roman" w:hAnsi="Times New Roman"/>
          <w:b/>
          <w:sz w:val="24"/>
          <w:szCs w:val="24"/>
        </w:rPr>
        <w:t>Термін надання Послуг складає:</w:t>
      </w:r>
      <w:r>
        <w:rPr>
          <w:rFonts w:cs="Times New Roman" w:ascii="Times New Roman" w:hAnsi="Times New Roman"/>
          <w:sz w:val="24"/>
          <w:szCs w:val="24"/>
        </w:rPr>
        <w:t xml:space="preserve"> з дати укладання договору по 31 грудня 2024 року.  </w:t>
      </w:r>
    </w:p>
    <w:p>
      <w:pPr>
        <w:pStyle w:val="Normal"/>
        <w:spacing w:lineRule="auto" w:line="240" w:before="0" w:after="0"/>
        <w:ind w:firstLine="850"/>
        <w:jc w:val="both"/>
        <w:rPr>
          <w:rFonts w:ascii="Times New Roman" w:hAnsi="Times New Roman" w:cs="Times New Roman"/>
          <w:sz w:val="24"/>
          <w:szCs w:val="24"/>
        </w:rPr>
      </w:pPr>
      <w:r>
        <w:rPr>
          <w:rFonts w:cs="Times New Roman" w:ascii="Times New Roman" w:hAnsi="Times New Roman"/>
          <w:b/>
          <w:sz w:val="24"/>
          <w:szCs w:val="24"/>
        </w:rPr>
        <w:t>Порядок оплати</w:t>
      </w:r>
      <w:r>
        <w:rPr>
          <w:rFonts w:cs="Times New Roman" w:ascii="Times New Roman" w:hAnsi="Times New Roman"/>
          <w:sz w:val="24"/>
          <w:szCs w:val="24"/>
        </w:rPr>
        <w:t xml:space="preserve">: по факту надання послуг. </w:t>
      </w:r>
    </w:p>
    <w:p>
      <w:pPr>
        <w:pStyle w:val="Normal"/>
        <w:spacing w:lineRule="auto" w:line="240" w:before="0" w:after="0"/>
        <w:ind w:firstLine="850"/>
        <w:jc w:val="both"/>
        <w:rPr>
          <w:rFonts w:ascii="Times New Roman" w:hAnsi="Times New Roman" w:cs="Times New Roman"/>
          <w:sz w:val="24"/>
          <w:szCs w:val="24"/>
        </w:rPr>
      </w:pPr>
      <w:r>
        <w:rPr>
          <w:rFonts w:cs="Times New Roman" w:ascii="Times New Roman" w:hAnsi="Times New Roman"/>
          <w:sz w:val="24"/>
          <w:szCs w:val="24"/>
        </w:rPr>
      </w:r>
    </w:p>
    <w:tbl>
      <w:tblPr>
        <w:tblW w:w="9902"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864"/>
        <w:gridCol w:w="6061"/>
        <w:gridCol w:w="1700"/>
        <w:gridCol w:w="1276"/>
      </w:tblGrid>
      <w:tr>
        <w:trPr>
          <w:trHeight w:val="387" w:hRule="atLeast"/>
        </w:trPr>
        <w:tc>
          <w:tcPr>
            <w:tcW w:w="86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w:t>
            </w:r>
          </w:p>
        </w:tc>
        <w:tc>
          <w:tcPr>
            <w:tcW w:w="60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Період надання \ кількість</w:t>
            </w:r>
          </w:p>
        </w:tc>
        <w:tc>
          <w:tcPr>
            <w:tcW w:w="12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Одиниця виміру</w:t>
            </w:r>
          </w:p>
        </w:tc>
      </w:tr>
      <w:tr>
        <w:trPr>
          <w:trHeight w:val="391" w:hRule="atLeast"/>
        </w:trPr>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6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Cs/>
                <w:spacing w:val="1"/>
                <w:sz w:val="24"/>
                <w:szCs w:val="24"/>
              </w:rPr>
              <w:t xml:space="preserve">Послуги з налаштування та виправлення виявлених несправностей в гіперконвергентому обчислювальному кластеру </w:t>
            </w:r>
            <w:r>
              <w:rPr>
                <w:rFonts w:cs="Times New Roman" w:ascii="Times New Roman" w:hAnsi="Times New Roman"/>
                <w:sz w:val="24"/>
                <w:szCs w:val="24"/>
              </w:rPr>
              <w:t>ІКС 112</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послуга</w:t>
            </w:r>
          </w:p>
        </w:tc>
      </w:tr>
      <w:tr>
        <w:trPr>
          <w:trHeight w:val="391" w:hRule="atLeast"/>
        </w:trPr>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6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Послуги </w:t>
            </w:r>
            <w:r>
              <w:rPr>
                <w:rFonts w:cs="Times New Roman" w:ascii="Times New Roman" w:hAnsi="Times New Roman"/>
                <w:sz w:val="24"/>
                <w:szCs w:val="24"/>
              </w:rPr>
              <w:t>з технічної підтримки та обслуговування гіперконвергентного обчислювального кластеру ІКС 112</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послуга</w:t>
            </w:r>
          </w:p>
        </w:tc>
      </w:tr>
      <w:tr>
        <w:trPr>
          <w:trHeight w:val="391" w:hRule="atLeast"/>
        </w:trPr>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6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Cs/>
                <w:spacing w:val="1"/>
                <w:sz w:val="24"/>
                <w:szCs w:val="24"/>
              </w:rPr>
            </w:pPr>
            <w:r>
              <w:rPr>
                <w:rFonts w:cs="Times New Roman" w:ascii="Times New Roman" w:hAnsi="Times New Roman"/>
                <w:bCs/>
                <w:spacing w:val="1"/>
                <w:sz w:val="24"/>
                <w:szCs w:val="24"/>
              </w:rPr>
              <w:t>Подовження сервісної підтримки, для Cisco BE Embedded Virt. Basic Plus 7x, BE6K/7K only (CON-ECMU-BE67KVSP)</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шт.</w:t>
            </w:r>
          </w:p>
        </w:tc>
      </w:tr>
      <w:tr>
        <w:trPr>
          <w:trHeight w:val="391" w:hRule="atLeast"/>
        </w:trPr>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6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Cs/>
                <w:spacing w:val="1"/>
                <w:sz w:val="24"/>
                <w:szCs w:val="24"/>
              </w:rPr>
            </w:pPr>
            <w:r>
              <w:rPr>
                <w:rFonts w:cs="Times New Roman" w:ascii="Times New Roman" w:hAnsi="Times New Roman"/>
                <w:bCs/>
                <w:spacing w:val="1"/>
                <w:sz w:val="24"/>
                <w:szCs w:val="24"/>
              </w:rPr>
              <w:t>Подовження сервісної підтримки, для Cisco Business Edition 7000H (M5) Appliance, Export Restr SW (CON-SNT-BE79M5KH)</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шт.</w:t>
            </w:r>
          </w:p>
        </w:tc>
      </w:tr>
      <w:tr>
        <w:trPr>
          <w:trHeight w:val="391" w:hRule="atLeast"/>
        </w:trPr>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6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Cs/>
                <w:spacing w:val="1"/>
                <w:sz w:val="24"/>
                <w:szCs w:val="24"/>
              </w:rPr>
            </w:pPr>
            <w:r>
              <w:rPr>
                <w:rFonts w:cs="Times New Roman" w:ascii="Times New Roman" w:hAnsi="Times New Roman"/>
                <w:bCs/>
                <w:spacing w:val="1"/>
                <w:sz w:val="24"/>
                <w:szCs w:val="24"/>
              </w:rPr>
              <w:t>Подовження сервісної підтримки, для Cisco Business Edition 7000H (M6) Appliance, Export Restr SW (CON-SNT-BE7HM6KM)</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шт.</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pBdr/>
        <w:tabs>
          <w:tab w:val="clear" w:pos="708"/>
          <w:tab w:val="left" w:pos="284" w:leader="none"/>
        </w:tabs>
        <w:spacing w:lineRule="auto" w:line="240" w:before="0" w:after="0"/>
        <w:ind w:right="79"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СКЛАД (ЗМІСТ) ВИМОГ</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Перелік компонентів гіперконвергентного обчислювального кластеру ІКС 112 щодо якої надаються Послуги:</w:t>
      </w:r>
    </w:p>
    <w:tbl>
      <w:tblPr>
        <w:tblW w:w="9918"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562"/>
        <w:gridCol w:w="5954"/>
        <w:gridCol w:w="2125"/>
        <w:gridCol w:w="1276"/>
      </w:tblGrid>
      <w:tr>
        <w:trPr>
          <w:tblHeader w:val="true"/>
          <w:trHeight w:val="387" w:hRule="atLeast"/>
        </w:trPr>
        <w:tc>
          <w:tcPr>
            <w:tcW w:w="5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Найменування та версія </w:t>
            </w:r>
          </w:p>
        </w:tc>
        <w:tc>
          <w:tcPr>
            <w:tcW w:w="212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Кількість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та од. виміру</w:t>
            </w:r>
          </w:p>
        </w:tc>
      </w:tr>
      <w:tr>
        <w:trPr>
          <w:trHeight w:val="340"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Гіперконвергентний обчислювальний кластер DELL VxRail (5 nodes) з набором програмного забезпечення VmWare (vSphere Enterprise Plus, vSAN Advanced)</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DELL VxRail</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5 nodes</w:t>
            </w:r>
          </w:p>
        </w:tc>
      </w:tr>
      <w:tr>
        <w:trPr>
          <w:trHeight w:val="340"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Cистема збереження даних DELL PowerScale/ISILON A200 (4 nodes) з комутаторами DELL S4112 (2 шт.)</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СЗД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DELL PowerScale</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 шт</w:t>
            </w:r>
          </w:p>
        </w:tc>
      </w:tr>
      <w:tr>
        <w:trPr>
          <w:trHeight w:val="340"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Система резервного копіювання та відновлення даних DELL IDPA 4400</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СРК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DELL IDPA 4400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4"/>
                <w:szCs w:val="24"/>
                <w:lang w:val="en-US"/>
              </w:rPr>
            </w:pPr>
            <w:r>
              <w:rPr>
                <w:rFonts w:cs="Times New Roman" w:ascii="Times New Roman" w:hAnsi="Times New Roman"/>
                <w:bCs/>
                <w:sz w:val="24"/>
                <w:szCs w:val="24"/>
              </w:rPr>
              <w:t>1 шт</w:t>
            </w:r>
          </w:p>
        </w:tc>
      </w:tr>
      <w:tr>
        <w:trPr>
          <w:trHeight w:val="233"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Мережеве обладнання DELL S5248</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DELL S5248</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 шт</w:t>
            </w:r>
          </w:p>
        </w:tc>
      </w:tr>
      <w:tr>
        <w:trPr>
          <w:trHeight w:val="157"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Мережеве обладнання DELL S3148</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DELL S3148</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 шт</w:t>
            </w:r>
          </w:p>
        </w:tc>
      </w:tr>
    </w:tbl>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0"/>
          <w:numId w:val="6"/>
        </w:numPr>
        <w:suppressAutoHyphens w:val="false"/>
        <w:spacing w:lineRule="auto" w:line="240" w:before="0" w:after="0"/>
        <w:ind w:left="284" w:hanging="284"/>
        <w:contextualSpacing/>
        <w:jc w:val="both"/>
        <w:rPr>
          <w:rFonts w:ascii="Times New Roman" w:hAnsi="Times New Roman" w:cs="Times New Roman"/>
          <w:b/>
          <w:b/>
          <w:sz w:val="24"/>
          <w:szCs w:val="24"/>
          <w:lang w:val="uk-UA"/>
        </w:rPr>
      </w:pPr>
      <w:r>
        <w:rPr>
          <w:rFonts w:cs="Times New Roman" w:ascii="Times New Roman" w:hAnsi="Times New Roman"/>
          <w:b/>
          <w:sz w:val="24"/>
          <w:szCs w:val="24"/>
          <w:lang w:val="uk-UA"/>
        </w:rPr>
        <w:t>Детальний опис та склад «Послуги з налаштування та виправлення виявлених несправностей гіперконвергентного обчислювального кластеру ІКС 112.</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Виконавець повинен надати наступний комплекс Послуг: </w:t>
      </w:r>
    </w:p>
    <w:p>
      <w:pPr>
        <w:pStyle w:val="Normal"/>
        <w:numPr>
          <w:ilvl w:val="0"/>
          <w:numId w:val="1"/>
        </w:numPr>
        <w:spacing w:lineRule="auto" w:line="240" w:before="0" w:after="0"/>
        <w:ind w:left="567" w:hanging="360"/>
        <w:jc w:val="both"/>
        <w:rPr>
          <w:rFonts w:ascii="Times New Roman" w:hAnsi="Times New Roman" w:eastAsia="Calibri" w:cs="Times New Roman"/>
          <w:b/>
          <w:b/>
          <w:bCs/>
          <w:sz w:val="24"/>
          <w:szCs w:val="24"/>
        </w:rPr>
      </w:pPr>
      <w:r>
        <w:rPr>
          <w:rFonts w:eastAsia="Calibri" w:cs="Times New Roman" w:ascii="Times New Roman" w:hAnsi="Times New Roman"/>
          <w:sz w:val="24"/>
          <w:szCs w:val="24"/>
        </w:rPr>
        <w:t xml:space="preserve">Перевірка поточної конфігурації та налаштувань компонентів гіперконвергентного обчислювального кластеру ІКС 112, таких як: </w:t>
      </w:r>
      <w:r>
        <w:rPr>
          <w:rFonts w:cs="Times New Roman" w:ascii="Times New Roman" w:hAnsi="Times New Roman"/>
          <w:b/>
          <w:bCs/>
          <w:sz w:val="24"/>
          <w:szCs w:val="24"/>
        </w:rPr>
        <w:t>гіперконвергентного обчислювального кластера DELL VxRail</w:t>
      </w:r>
      <w:r>
        <w:rPr>
          <w:rFonts w:eastAsia="Calibri" w:cs="Times New Roman" w:ascii="Times New Roman" w:hAnsi="Times New Roman"/>
          <w:b/>
          <w:bCs/>
          <w:sz w:val="24"/>
          <w:szCs w:val="24"/>
        </w:rPr>
        <w:t xml:space="preserve">, </w:t>
      </w:r>
      <w:r>
        <w:rPr>
          <w:rFonts w:cs="Times New Roman" w:ascii="Times New Roman" w:hAnsi="Times New Roman"/>
          <w:b/>
          <w:bCs/>
          <w:sz w:val="24"/>
          <w:szCs w:val="24"/>
        </w:rPr>
        <w:t xml:space="preserve">системи збереження даних DELL PowerScale/ISILON A200, система резервного копіювання та відновлення даних DELL IDPA 4400, мережевого обладнання DELL S5248 та DELL S3148 </w:t>
      </w:r>
      <w:r>
        <w:rPr>
          <w:rFonts w:eastAsia="Calibri" w:cs="Times New Roman" w:ascii="Times New Roman" w:hAnsi="Times New Roman"/>
          <w:b/>
          <w:bCs/>
          <w:sz w:val="24"/>
          <w:szCs w:val="24"/>
        </w:rPr>
        <w:t>ІКС 112;</w:t>
      </w:r>
    </w:p>
    <w:p>
      <w:pPr>
        <w:pStyle w:val="Normal"/>
        <w:numPr>
          <w:ilvl w:val="0"/>
          <w:numId w:val="1"/>
        </w:numPr>
        <w:spacing w:lineRule="auto" w:line="240" w:before="0" w:after="0"/>
        <w:ind w:left="567" w:hanging="360"/>
        <w:jc w:val="both"/>
        <w:rPr>
          <w:rFonts w:ascii="Times New Roman" w:hAnsi="Times New Roman" w:eastAsia="Calibri" w:cs="Times New Roman"/>
          <w:sz w:val="24"/>
          <w:szCs w:val="24"/>
        </w:rPr>
      </w:pPr>
      <w:r>
        <w:rPr>
          <w:rFonts w:eastAsia="Calibri" w:cs="Times New Roman" w:ascii="Times New Roman" w:hAnsi="Times New Roman"/>
          <w:sz w:val="24"/>
          <w:szCs w:val="24"/>
        </w:rPr>
        <w:t>Виправлення виявлених функціональних несправностей та помилок в конфігураціях вищезазначених компонентів гіперконвергентного обчислювального кластеру ІКС 112;</w:t>
      </w:r>
    </w:p>
    <w:p>
      <w:pPr>
        <w:pStyle w:val="Normal"/>
        <w:numPr>
          <w:ilvl w:val="0"/>
          <w:numId w:val="1"/>
        </w:numPr>
        <w:spacing w:lineRule="auto" w:line="240" w:before="0" w:after="0"/>
        <w:ind w:left="567" w:hanging="360"/>
        <w:jc w:val="both"/>
        <w:rPr>
          <w:rFonts w:ascii="Times New Roman" w:hAnsi="Times New Roman" w:eastAsia="Calibri" w:cs="Times New Roman"/>
          <w:sz w:val="24"/>
          <w:szCs w:val="24"/>
        </w:rPr>
      </w:pPr>
      <w:r>
        <w:rPr>
          <w:rFonts w:eastAsia="Calibri" w:cs="Times New Roman" w:ascii="Times New Roman" w:hAnsi="Times New Roman"/>
          <w:sz w:val="24"/>
          <w:szCs w:val="24"/>
        </w:rPr>
        <w:t>Оптимізація використання віртуальних обчислювальних ресурсів та розподілу віртуальних серверів між хостами;</w:t>
      </w:r>
    </w:p>
    <w:p>
      <w:pPr>
        <w:pStyle w:val="Normal"/>
        <w:numPr>
          <w:ilvl w:val="0"/>
          <w:numId w:val="1"/>
        </w:numPr>
        <w:spacing w:lineRule="auto" w:line="240" w:before="0" w:after="0"/>
        <w:ind w:left="567" w:hanging="360"/>
        <w:jc w:val="both"/>
        <w:rPr>
          <w:rFonts w:ascii="Times New Roman" w:hAnsi="Times New Roman" w:eastAsia="Calibri" w:cs="Times New Roman"/>
          <w:sz w:val="24"/>
          <w:szCs w:val="24"/>
        </w:rPr>
      </w:pPr>
      <w:r>
        <w:rPr>
          <w:rFonts w:eastAsia="Calibri" w:cs="Times New Roman" w:ascii="Times New Roman" w:hAnsi="Times New Roman"/>
          <w:sz w:val="24"/>
          <w:szCs w:val="24"/>
        </w:rPr>
        <w:t>Встановлення оновлень операційних систем всіх віртуальних серверів що входять до складу ІКС 112;</w:t>
      </w:r>
    </w:p>
    <w:p>
      <w:pPr>
        <w:pStyle w:val="Normal"/>
        <w:numPr>
          <w:ilvl w:val="0"/>
          <w:numId w:val="1"/>
        </w:numPr>
        <w:spacing w:lineRule="auto" w:line="240" w:before="0" w:after="0"/>
        <w:ind w:left="567" w:hanging="360"/>
        <w:jc w:val="both"/>
        <w:rPr>
          <w:rFonts w:ascii="Times New Roman" w:hAnsi="Times New Roman" w:cs="Times New Roman"/>
          <w:b/>
          <w:b/>
          <w:sz w:val="24"/>
          <w:szCs w:val="24"/>
        </w:rPr>
      </w:pPr>
      <w:r>
        <w:rPr>
          <w:rFonts w:eastAsia="Calibri" w:cs="Times New Roman" w:ascii="Times New Roman" w:hAnsi="Times New Roman"/>
          <w:sz w:val="24"/>
          <w:szCs w:val="24"/>
        </w:rPr>
        <w:t>Навчання адміністраторів Замовника базовим інструментам моніторингу стану ІКС 112 та засобам базового адміністрування;</w:t>
      </w:r>
    </w:p>
    <w:p>
      <w:pPr>
        <w:pStyle w:val="Normal"/>
        <w:numPr>
          <w:ilvl w:val="0"/>
          <w:numId w:val="1"/>
        </w:numPr>
        <w:spacing w:lineRule="auto" w:line="240" w:before="0" w:after="0"/>
        <w:ind w:left="567" w:hanging="360"/>
        <w:jc w:val="both"/>
        <w:rPr>
          <w:rFonts w:ascii="Times New Roman" w:hAnsi="Times New Roman" w:eastAsia="Calibri" w:cs="Times New Roman"/>
          <w:sz w:val="24"/>
          <w:szCs w:val="24"/>
        </w:rPr>
      </w:pPr>
      <w:r>
        <w:rPr>
          <w:rFonts w:eastAsia="Calibri" w:cs="Times New Roman" w:ascii="Times New Roman" w:hAnsi="Times New Roman"/>
          <w:sz w:val="24"/>
          <w:szCs w:val="24"/>
        </w:rPr>
        <w:t>Бекапування, згідно узгодженого із Замовником плану/переліку, конфігурацій критичних компонентів мережі та віртуальних серверів у складі ІКС 112 для можливості відновлення у разі програмних та/або апаратних збоїв.</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0"/>
          <w:numId w:val="6"/>
        </w:numPr>
        <w:suppressAutoHyphens w:val="false"/>
        <w:spacing w:lineRule="auto" w:line="240" w:before="0" w:after="0"/>
        <w:ind w:left="284" w:hanging="284"/>
        <w:contextualSpacing/>
        <w:jc w:val="both"/>
        <w:rPr>
          <w:rFonts w:ascii="Times New Roman" w:hAnsi="Times New Roman" w:cs="Times New Roman"/>
          <w:b/>
          <w:b/>
          <w:sz w:val="24"/>
          <w:szCs w:val="24"/>
          <w:lang w:val="uk-UA"/>
        </w:rPr>
      </w:pPr>
      <w:r>
        <w:rPr>
          <w:rFonts w:cs="Times New Roman" w:ascii="Times New Roman" w:hAnsi="Times New Roman"/>
          <w:b/>
          <w:sz w:val="24"/>
          <w:szCs w:val="24"/>
          <w:lang w:val="uk-UA"/>
        </w:rPr>
        <w:t>Детальний опис та склад «Послуги з технічної підтримки та обслуговування ІКС 112.</w:t>
      </w:r>
    </w:p>
    <w:p>
      <w:pPr>
        <w:pStyle w:val="Normal"/>
        <w:spacing w:lineRule="auto" w:line="240" w:before="0" w:after="0"/>
        <w:ind w:firstLine="851"/>
        <w:jc w:val="both"/>
        <w:rPr>
          <w:rFonts w:ascii="Times New Roman" w:hAnsi="Times New Roman" w:cs="Times New Roman"/>
          <w:b/>
          <w:b/>
          <w:sz w:val="24"/>
          <w:szCs w:val="24"/>
        </w:rPr>
      </w:pPr>
      <w:r>
        <w:rPr>
          <w:rFonts w:cs="Times New Roman" w:ascii="Times New Roman" w:hAnsi="Times New Roman"/>
          <w:sz w:val="24"/>
          <w:szCs w:val="24"/>
        </w:rPr>
        <w:t>Виконавець повинен надати наступний комплекс Послуг:</w:t>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571"/>
        <w:gridCol w:w="6861"/>
        <w:gridCol w:w="2205"/>
      </w:tblGrid>
      <w:tr>
        <w:trPr/>
        <w:tc>
          <w:tcPr>
            <w:tcW w:w="57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w:t>
            </w:r>
          </w:p>
        </w:tc>
        <w:tc>
          <w:tcPr>
            <w:tcW w:w="68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Послуги</w:t>
            </w:r>
          </w:p>
        </w:tc>
        <w:tc>
          <w:tcPr>
            <w:tcW w:w="22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Обсяг</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Реєстрація звернень </w:t>
            </w:r>
            <w:r>
              <w:rPr>
                <w:rFonts w:eastAsia="Calibri" w:cs="Times New Roman" w:ascii="Times New Roman" w:hAnsi="Times New Roman"/>
                <w:sz w:val="24"/>
                <w:szCs w:val="24"/>
              </w:rPr>
              <w:t>Замовника</w:t>
            </w:r>
            <w:r>
              <w:rPr>
                <w:rFonts w:cs="Times New Roman" w:ascii="Times New Roman" w:hAnsi="Times New Roman"/>
                <w:sz w:val="24"/>
                <w:szCs w:val="24"/>
              </w:rPr>
              <w:t xml:space="preserve"> в службі технічної підтримки (далі СТП) Виконавця.</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24х7</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Обробка замовлень та надання послуг цієї підтримки згідно пріоритетів звернень.</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Діагностика роботи складових </w:t>
            </w:r>
            <w:r>
              <w:rPr>
                <w:rFonts w:eastAsia="Calibri" w:cs="Times New Roman" w:ascii="Times New Roman" w:hAnsi="Times New Roman"/>
                <w:sz w:val="24"/>
                <w:szCs w:val="24"/>
              </w:rPr>
              <w:t>ІКС 112</w:t>
            </w:r>
            <w:r>
              <w:rPr>
                <w:rFonts w:cs="Times New Roman" w:ascii="Times New Roman" w:hAnsi="Times New Roman"/>
                <w:sz w:val="24"/>
                <w:szCs w:val="24"/>
              </w:rPr>
              <w:t xml:space="preserve"> згідно зареєстрованим у СТП зверненням дистанційно та згідно пріоритетів.</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Без обмежень</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Виправлення помилок у «налаштуваннях» та «конфігураціях» складових </w:t>
            </w:r>
            <w:r>
              <w:rPr>
                <w:rFonts w:eastAsia="Calibri" w:cs="Times New Roman" w:ascii="Times New Roman" w:hAnsi="Times New Roman"/>
                <w:sz w:val="24"/>
                <w:szCs w:val="24"/>
              </w:rPr>
              <w:t>ІКС 112</w:t>
            </w:r>
            <w:r>
              <w:rPr>
                <w:rFonts w:cs="Times New Roman" w:ascii="Times New Roman" w:hAnsi="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Без обмежень</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Внесення змін до конфігурації </w:t>
            </w:r>
            <w:r>
              <w:rPr>
                <w:rFonts w:eastAsia="Calibri" w:cs="Times New Roman" w:ascii="Times New Roman" w:hAnsi="Times New Roman"/>
                <w:sz w:val="24"/>
                <w:szCs w:val="24"/>
              </w:rPr>
              <w:t>ІКС 112</w:t>
            </w:r>
            <w:r>
              <w:rPr>
                <w:rFonts w:cs="Times New Roman" w:ascii="Times New Roman" w:hAnsi="Times New Roman"/>
                <w:sz w:val="24"/>
                <w:szCs w:val="24"/>
              </w:rPr>
              <w:t xml:space="preserve"> в рамках директив / рекомендацій вендорів, зокрема, </w:t>
            </w:r>
            <w:r>
              <w:rPr>
                <w:rFonts w:cs="Times New Roman" w:ascii="Times New Roman" w:hAnsi="Times New Roman"/>
                <w:sz w:val="24"/>
                <w:szCs w:val="24"/>
                <w:lang w:val="en-US"/>
              </w:rPr>
              <w:t>Dell</w:t>
            </w:r>
            <w:r>
              <w:rPr>
                <w:rFonts w:cs="Times New Roman" w:ascii="Times New Roman" w:hAnsi="Times New Roman"/>
                <w:sz w:val="24"/>
                <w:szCs w:val="24"/>
              </w:rPr>
              <w:t xml:space="preserve"> в тому числі встановлення виправлень ПЗ (патчей, виду x.x.X), які надає </w:t>
            </w:r>
            <w:r>
              <w:rPr>
                <w:rFonts w:cs="Times New Roman" w:ascii="Times New Roman" w:hAnsi="Times New Roman"/>
                <w:sz w:val="24"/>
                <w:szCs w:val="24"/>
                <w:lang w:val="en-US"/>
              </w:rPr>
              <w:t>Dell</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color w:val="000000" w:themeColor="text1"/>
                <w:sz w:val="24"/>
                <w:szCs w:val="24"/>
              </w:rPr>
              <w:t>Згідно з графіком виходу оновлень</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Зміни у налаштуванні та конфігурації складових </w:t>
            </w:r>
            <w:r>
              <w:rPr>
                <w:rFonts w:eastAsia="Calibri" w:cs="Times New Roman" w:ascii="Times New Roman" w:hAnsi="Times New Roman"/>
                <w:sz w:val="24"/>
                <w:szCs w:val="24"/>
              </w:rPr>
              <w:t>ІКС 112</w:t>
            </w:r>
            <w:r>
              <w:rPr>
                <w:rFonts w:cs="Times New Roman" w:ascii="Times New Roman" w:hAnsi="Times New Roman"/>
                <w:sz w:val="24"/>
                <w:szCs w:val="24"/>
              </w:rPr>
              <w:t xml:space="preserve"> в тому числі відновлення працездатності, які стали необхідними у наслідок дій </w:t>
            </w:r>
            <w:r>
              <w:rPr>
                <w:rFonts w:eastAsia="Calibri" w:cs="Times New Roman" w:ascii="Times New Roman" w:hAnsi="Times New Roman"/>
                <w:sz w:val="24"/>
                <w:szCs w:val="24"/>
              </w:rPr>
              <w:t>Замовника</w:t>
            </w:r>
            <w:r>
              <w:rPr>
                <w:rFonts w:cs="Times New Roman" w:ascii="Times New Roman" w:hAnsi="Times New Roman"/>
                <w:sz w:val="24"/>
                <w:szCs w:val="24"/>
              </w:rPr>
              <w:t>.</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Без обмежень</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Кількість виїздів Виконавця до </w:t>
            </w:r>
            <w:r>
              <w:rPr>
                <w:rFonts w:eastAsia="Calibri" w:cs="Times New Roman" w:ascii="Times New Roman" w:hAnsi="Times New Roman"/>
                <w:sz w:val="24"/>
                <w:szCs w:val="24"/>
              </w:rPr>
              <w:t>Замовника</w:t>
            </w:r>
            <w:r>
              <w:rPr>
                <w:rFonts w:cs="Times New Roman" w:ascii="Times New Roman" w:hAnsi="Times New Roman"/>
                <w:sz w:val="24"/>
                <w:szCs w:val="24"/>
              </w:rPr>
              <w:t xml:space="preserve"> в межах м. Києва для діагностики роботи складових </w:t>
            </w:r>
            <w:r>
              <w:rPr>
                <w:rFonts w:eastAsia="Calibri" w:cs="Times New Roman" w:ascii="Times New Roman" w:hAnsi="Times New Roman"/>
                <w:sz w:val="24"/>
                <w:szCs w:val="24"/>
              </w:rPr>
              <w:t>ІКС 112</w:t>
            </w:r>
            <w:r>
              <w:rPr>
                <w:rFonts w:cs="Times New Roman" w:ascii="Times New Roman" w:hAnsi="Times New Roman"/>
                <w:sz w:val="24"/>
                <w:szCs w:val="24"/>
              </w:rPr>
              <w:t xml:space="preserve">, якщо дистанційна діагностика неможлива у наслідок дій </w:t>
            </w:r>
            <w:r>
              <w:rPr>
                <w:rFonts w:eastAsia="Calibri" w:cs="Times New Roman" w:ascii="Times New Roman" w:hAnsi="Times New Roman"/>
                <w:sz w:val="24"/>
                <w:szCs w:val="24"/>
              </w:rPr>
              <w:t>Замовника</w:t>
            </w:r>
            <w:r>
              <w:rPr>
                <w:rFonts w:cs="Times New Roman" w:ascii="Times New Roman" w:hAnsi="Times New Roman"/>
                <w:sz w:val="24"/>
                <w:szCs w:val="24"/>
              </w:rPr>
              <w:t xml:space="preserve">. Або необхідна заміна апаратної складової </w:t>
            </w:r>
            <w:r>
              <w:rPr>
                <w:rFonts w:eastAsia="Calibri" w:cs="Times New Roman" w:ascii="Times New Roman" w:hAnsi="Times New Roman"/>
                <w:sz w:val="24"/>
                <w:szCs w:val="24"/>
              </w:rPr>
              <w:t>ІКС 112</w:t>
            </w:r>
            <w:r>
              <w:rPr>
                <w:rFonts w:cs="Times New Roman" w:ascii="Times New Roman" w:hAnsi="Times New Roman"/>
                <w:sz w:val="24"/>
                <w:szCs w:val="24"/>
              </w:rPr>
              <w:t xml:space="preserve">, яка вийшла з ладу в наслідок дій </w:t>
            </w:r>
            <w:r>
              <w:rPr>
                <w:rFonts w:eastAsia="Calibri" w:cs="Times New Roman" w:ascii="Times New Roman" w:hAnsi="Times New Roman"/>
                <w:sz w:val="24"/>
                <w:szCs w:val="24"/>
              </w:rPr>
              <w:t>Замовника</w:t>
            </w:r>
            <w:r>
              <w:rPr>
                <w:rFonts w:cs="Times New Roman" w:ascii="Times New Roman" w:hAnsi="Times New Roman"/>
                <w:sz w:val="24"/>
                <w:szCs w:val="24"/>
              </w:rPr>
              <w:t>.</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12 виїздів </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Створення резервних копій віртуальних машин за зверненням </w:t>
            </w:r>
            <w:r>
              <w:rPr>
                <w:rFonts w:eastAsia="Calibri" w:cs="Times New Roman" w:ascii="Times New Roman" w:hAnsi="Times New Roman"/>
                <w:sz w:val="24"/>
                <w:szCs w:val="24"/>
              </w:rPr>
              <w:t>Замовника</w:t>
            </w:r>
            <w:r>
              <w:rPr>
                <w:rFonts w:cs="Times New Roman" w:ascii="Times New Roman" w:hAnsi="Times New Roman"/>
                <w:sz w:val="24"/>
                <w:szCs w:val="24"/>
              </w:rPr>
              <w:t xml:space="preserve"> у разі, якщо автоматичне резервне копіювання неможливо.</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раз на місяць</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9</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Прибуття інженера на майданчик </w:t>
            </w:r>
            <w:r>
              <w:rPr>
                <w:rFonts w:eastAsia="Calibri" w:cs="Times New Roman" w:ascii="Times New Roman" w:hAnsi="Times New Roman"/>
                <w:sz w:val="24"/>
                <w:szCs w:val="24"/>
              </w:rPr>
              <w:t>Замовника</w:t>
            </w:r>
            <w:r>
              <w:rPr>
                <w:rFonts w:cs="Times New Roman" w:ascii="Times New Roman" w:hAnsi="Times New Roman"/>
                <w:sz w:val="24"/>
                <w:szCs w:val="24"/>
              </w:rPr>
              <w:t xml:space="preserve"> (у разі встановлення інженером Виконавця такої необхідності)</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Так </w:t>
            </w:r>
          </w:p>
          <w:p>
            <w:pPr>
              <w:pStyle w:val="Normal"/>
              <w:widowControl w:val="false"/>
              <w:spacing w:lineRule="auto" w:line="240" w:before="0" w:after="0"/>
              <w:jc w:val="center"/>
              <w:rPr>
                <w:rFonts w:ascii="Times New Roman" w:hAnsi="Times New Roman" w:cs="Times New Roman"/>
                <w:sz w:val="24"/>
                <w:szCs w:val="24"/>
                <w:highlight w:val="yellow"/>
              </w:rPr>
            </w:pPr>
            <w:r>
              <w:rPr>
                <w:rFonts w:cs="Times New Roman" w:ascii="Times New Roman" w:hAnsi="Times New Roman"/>
                <w:sz w:val="24"/>
                <w:szCs w:val="24"/>
              </w:rPr>
              <w:t>(згідно пріоритетів)</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Стандартна звітність по зверненнями до Виконавця в рамках надання Послуг – за запитом.</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w:t>
            </w:r>
          </w:p>
        </w:tc>
      </w:tr>
      <w:tr>
        <w:trPr/>
        <w:tc>
          <w:tcPr>
            <w:tcW w:w="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w:t>
            </w:r>
          </w:p>
        </w:tc>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додаткового узгодження</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Детальний опис складової технічної підтримки в частині гіперконвергентного обчислювального кластеру DELL VxRail (5 нод) з набором програмного забезпечення VmWare (vSphere Enterprise Plus, vSAN Advanced):</w:t>
      </w:r>
    </w:p>
    <w:tbl>
      <w:tblPr>
        <w:tblW w:w="9682"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93"/>
        <w:gridCol w:w="8688"/>
      </w:tblGrid>
      <w:tr>
        <w:trPr>
          <w:tblHeader w:val="true"/>
        </w:trPr>
        <w:tc>
          <w:tcPr>
            <w:tcW w:w="9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lang w:eastAsia="ar-SA"/>
              </w:rPr>
            </w:pPr>
            <w:r>
              <w:rPr>
                <w:rFonts w:cs="Times New Roman" w:ascii="Times New Roman" w:hAnsi="Times New Roman"/>
                <w:b/>
                <w:sz w:val="24"/>
                <w:szCs w:val="24"/>
                <w:lang w:eastAsia="ar-SA"/>
              </w:rPr>
              <w:t xml:space="preserve">№ </w:t>
            </w:r>
            <w:r>
              <w:rPr>
                <w:rFonts w:cs="Times New Roman" w:ascii="Times New Roman" w:hAnsi="Times New Roman"/>
                <w:b/>
                <w:sz w:val="24"/>
                <w:szCs w:val="24"/>
                <w:lang w:eastAsia="ar-SA"/>
              </w:rPr>
              <w:t>п/п</w:t>
            </w:r>
          </w:p>
        </w:tc>
        <w:tc>
          <w:tcPr>
            <w:tcW w:w="868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lang w:eastAsia="ar-SA"/>
              </w:rPr>
            </w:pPr>
            <w:r>
              <w:rPr>
                <w:rFonts w:cs="Times New Roman" w:ascii="Times New Roman" w:hAnsi="Times New Roman"/>
                <w:b/>
                <w:sz w:val="24"/>
                <w:szCs w:val="24"/>
                <w:lang w:eastAsia="ar-SA"/>
              </w:rPr>
              <w:t>Послуги</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tabs>
                <w:tab w:val="clear" w:pos="708"/>
                <w:tab w:val="left" w:pos="318" w:leader="none"/>
              </w:tabs>
              <w:spacing w:lineRule="auto" w:line="240" w:before="0" w:after="0"/>
              <w:ind w:left="0" w:firstLine="318"/>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8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t>В рамках надання технічної підтримки Виконавець має здійснювати:</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Адміністрування функціонування апаратної складової кластеру:</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апаратної складової кластеру (параметри BIOS);</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модифікація параметрів дискової підсистеми;</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параметрів мережевих інтерфейсів;</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 та/або мікрокодів (firmware) апаратного забезпечення, відповідно до рекомендацій виробника;</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 апаратної складової кластеру:</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апаратних компонентів нод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Супровід робіт з заміни несправних елементів:</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У разі виходу з ладу апаратних компонентів  нод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 здійснювати отримання замінних компонентів у виробника;</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Супровід масштабування системи (додавання вузлів, дисків, тощо).</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Адміністрування функціонування програмної складової кластеру:</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гіпервізорів;</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дискових масивів (Datastores);</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компоненту vSAN. Створення модифікація політик збереження даних;</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механізмів оптимізації використання дискового простору (дедуплікація, компресія);</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мережевої компоненти: створення, редагування, видалення віртуальних комутаторів, порт груп, мережевих політик, тощо;</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редагування параметрів віртуальних машин;</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редагування шаблонів віртуальних машин;</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Управління знімками віртуальних машин (snapshot);</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Оновлення програмного забезпечення гіпервізорів, компоненту керування (застосування рекомендованих виробником версій) відповідно до узгоджених рекомендацій виробника;</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Інтеграція з інфраструктурою Microsoft Active Directory, реалізація рольової моделі контролю доступу.</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 та/або мікрокодів (firmware) апаратного забезпечення, відповідно до рекомендацій виробника;</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віртуальних машин, дискової підсистеми, мережевої підсистеми;</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Виявлення та усунення помилок функціонування обчислювального кластеру</w:t>
            </w:r>
          </w:p>
          <w:p>
            <w:pPr>
              <w:pStyle w:val="ListParagraph"/>
              <w:widowControl w:val="false"/>
              <w:numPr>
                <w:ilvl w:val="0"/>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p>
          <w:p>
            <w:pPr>
              <w:pStyle w:val="ListParagraph"/>
              <w:widowControl w:val="false"/>
              <w:numPr>
                <w:ilvl w:val="2"/>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рішення обчислювального кластеру;</w:t>
            </w:r>
          </w:p>
          <w:p>
            <w:pPr>
              <w:pStyle w:val="ListParagraph"/>
              <w:widowControl w:val="false"/>
              <w:numPr>
                <w:ilvl w:val="2"/>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налаштувань;</w:t>
            </w:r>
          </w:p>
          <w:p>
            <w:pPr>
              <w:pStyle w:val="ListParagraph"/>
              <w:widowControl w:val="false"/>
              <w:numPr>
                <w:ilvl w:val="2"/>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Інструкція системного адміністратора щодо експлуатації рішення;</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 виконаних дій;</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прийнятих рішень.</w:t>
            </w:r>
          </w:p>
          <w:p>
            <w:pPr>
              <w:pStyle w:val="ListParagraph"/>
              <w:widowControl w:val="false"/>
              <w:numPr>
                <w:ilvl w:val="1"/>
                <w:numId w:val="5"/>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навчання представників Замовника в частині експлуатації рішення.</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828" w:leader="none"/>
        </w:tabs>
        <w:spacing w:lineRule="auto" w:line="240" w:before="0" w:after="0"/>
        <w:jc w:val="both"/>
        <w:rPr>
          <w:rFonts w:ascii="Times New Roman" w:hAnsi="Times New Roman" w:cs="Times New Roman"/>
          <w:b/>
          <w:b/>
          <w:bCs/>
          <w:sz w:val="24"/>
          <w:szCs w:val="24"/>
        </w:rPr>
      </w:pPr>
      <w:r>
        <w:rPr>
          <w:rFonts w:cs="Times New Roman" w:ascii="Times New Roman" w:hAnsi="Times New Roman"/>
          <w:b/>
          <w:sz w:val="24"/>
          <w:szCs w:val="24"/>
        </w:rPr>
        <w:t xml:space="preserve">Детальний опис складової технічної підтримки в частині </w:t>
      </w:r>
      <w:r>
        <w:rPr>
          <w:rFonts w:cs="Times New Roman" w:ascii="Times New Roman" w:hAnsi="Times New Roman"/>
          <w:b/>
          <w:bCs/>
          <w:sz w:val="24"/>
          <w:szCs w:val="24"/>
        </w:rPr>
        <w:t>системи збереження даних DELL PowerScale/ISILON A200 (4 ноди) з комутаторами DELL S4112 (2 шт.):</w:t>
      </w:r>
    </w:p>
    <w:tbl>
      <w:tblPr>
        <w:tblW w:w="9772"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92"/>
        <w:gridCol w:w="8779"/>
      </w:tblGrid>
      <w:tr>
        <w:trPr>
          <w:tblHeader w:val="true"/>
        </w:trPr>
        <w:tc>
          <w:tcPr>
            <w:tcW w:w="9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lang w:val="en-US" w:eastAsia="ar-SA"/>
              </w:rPr>
            </w:pPr>
            <w:r>
              <w:rPr>
                <w:rFonts w:cs="Times New Roman" w:ascii="Times New Roman" w:hAnsi="Times New Roman"/>
                <w:b/>
                <w:sz w:val="24"/>
                <w:szCs w:val="24"/>
                <w:lang w:eastAsia="ar-SA"/>
              </w:rPr>
              <w:t xml:space="preserve">№ </w:t>
            </w:r>
            <w:r>
              <w:rPr>
                <w:rFonts w:cs="Times New Roman" w:ascii="Times New Roman" w:hAnsi="Times New Roman"/>
                <w:b/>
                <w:sz w:val="24"/>
                <w:szCs w:val="24"/>
                <w:lang w:eastAsia="ar-SA"/>
              </w:rPr>
              <w:t>п/п</w:t>
            </w:r>
          </w:p>
        </w:tc>
        <w:tc>
          <w:tcPr>
            <w:tcW w:w="877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lang w:eastAsia="ar-SA"/>
              </w:rPr>
            </w:pPr>
            <w:r>
              <w:rPr>
                <w:rFonts w:cs="Times New Roman" w:ascii="Times New Roman" w:hAnsi="Times New Roman"/>
                <w:b/>
                <w:sz w:val="24"/>
                <w:szCs w:val="24"/>
                <w:lang w:eastAsia="ar-SA"/>
              </w:rPr>
              <w:t>Послуги</w:t>
            </w:r>
          </w:p>
        </w:tc>
      </w:tr>
      <w:tr>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tabs>
                <w:tab w:val="clear" w:pos="708"/>
                <w:tab w:val="left" w:pos="318" w:leader="none"/>
              </w:tabs>
              <w:spacing w:lineRule="auto" w:line="240" w:before="0" w:after="0"/>
              <w:ind w:left="0" w:firstLine="318"/>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8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t>В рамках надання технічної підтримки Виконавець має здійснювати:</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Адміністрування функціонування:</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операційної системи нод системи збереження даних OneFS;</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дискової підсистеми;</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мережевої підсистеми (інтерфейси, мережеві зони (“Access zones”));</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та адміністрування мережевих каталогів NFS v.4/v.3, SMB v.3/v.2 (включаючи Multichannel, Continuous Availability), FTP.</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контролю доступу до мережевих каталогів, модифікація параметрів функціонування, тощо;</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користувачів та груп доступу до мережевих каталогів;</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автентифікації користувачів до сервісів системи (локальна база користувачів та Microsoft Active Directory);</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компоненту балансування навантаження між елементами системи збереження даних SmartConnect;</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механізмів захисту від видалення даних WORM (Write Once Read Many);</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 та/або мікрокодів (firmware) апаратного забезпечення, відповідно до рекомендацій виробника;</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ємності та продуктивності всієї системи збереження даних та кожної з нод;</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апаратних компонентів нод системи збереження даних (центральний процесор, оперативна пам’ять, дискові накопичувачі, мережеві карти, блоки живлення, вентилятори, тощо).</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операційної системи нод системи збереження даних та функціонуючих сервісів;</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Виявлення та усунення помилок функціонування системи збереження даних</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Супровід робіт з заміни несправних елементів:</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У разі виходу з ладу апаратних компонентів  нод системи збереження даних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p>
          <w:p>
            <w:pPr>
              <w:pStyle w:val="ListParagraph"/>
              <w:widowControl w:val="false"/>
              <w:numPr>
                <w:ilvl w:val="2"/>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рішення збереження даних;</w:t>
            </w:r>
          </w:p>
          <w:p>
            <w:pPr>
              <w:pStyle w:val="ListParagraph"/>
              <w:widowControl w:val="false"/>
              <w:numPr>
                <w:ilvl w:val="2"/>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налаштувань;</w:t>
            </w:r>
          </w:p>
          <w:p>
            <w:pPr>
              <w:pStyle w:val="ListParagraph"/>
              <w:widowControl w:val="false"/>
              <w:numPr>
                <w:ilvl w:val="2"/>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Інструкція системного адміністратора щодо експлуатації рішення;</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 виконаних дій;</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прийнятих рішень.</w:t>
            </w:r>
          </w:p>
          <w:p>
            <w:pPr>
              <w:pStyle w:val="ListParagraph"/>
              <w:widowControl w:val="false"/>
              <w:numPr>
                <w:ilvl w:val="1"/>
                <w:numId w:val="7"/>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навчання представників Замовника в частині експлуатації рішення.</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828" w:leader="none"/>
        </w:tabs>
        <w:spacing w:lineRule="auto" w:line="240" w:before="0" w:after="0"/>
        <w:jc w:val="both"/>
        <w:rPr>
          <w:rFonts w:ascii="Times New Roman" w:hAnsi="Times New Roman" w:cs="Times New Roman"/>
          <w:b/>
          <w:b/>
          <w:bCs/>
          <w:sz w:val="24"/>
          <w:szCs w:val="24"/>
        </w:rPr>
      </w:pPr>
      <w:r>
        <w:rPr>
          <w:rFonts w:cs="Times New Roman" w:ascii="Times New Roman" w:hAnsi="Times New Roman"/>
          <w:b/>
          <w:sz w:val="24"/>
          <w:szCs w:val="24"/>
        </w:rPr>
        <w:t xml:space="preserve">Детальний опис складової технічної підтримки в частині </w:t>
      </w:r>
      <w:r>
        <w:rPr>
          <w:rFonts w:cs="Times New Roman" w:ascii="Times New Roman" w:hAnsi="Times New Roman"/>
          <w:b/>
          <w:bCs/>
          <w:sz w:val="24"/>
          <w:szCs w:val="24"/>
        </w:rPr>
        <w:t>системи резервного копіювання та відновлення даних DELL IDPA 4400:</w:t>
      </w:r>
    </w:p>
    <w:tbl>
      <w:tblPr>
        <w:tblW w:w="9810"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92"/>
        <w:gridCol w:w="8817"/>
      </w:tblGrid>
      <w:tr>
        <w:trPr>
          <w:tblHeader w:val="true"/>
        </w:trPr>
        <w:tc>
          <w:tcPr>
            <w:tcW w:w="9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lang w:eastAsia="ar-SA"/>
              </w:rPr>
            </w:pPr>
            <w:r>
              <w:rPr>
                <w:rFonts w:cs="Times New Roman" w:ascii="Times New Roman" w:hAnsi="Times New Roman"/>
                <w:b/>
                <w:sz w:val="24"/>
                <w:szCs w:val="24"/>
                <w:lang w:eastAsia="ar-SA"/>
              </w:rPr>
              <w:t xml:space="preserve">№ </w:t>
            </w:r>
            <w:r>
              <w:rPr>
                <w:rFonts w:cs="Times New Roman" w:ascii="Times New Roman" w:hAnsi="Times New Roman"/>
                <w:b/>
                <w:sz w:val="24"/>
                <w:szCs w:val="24"/>
                <w:lang w:eastAsia="ar-SA"/>
              </w:rPr>
              <w:t>п/п</w:t>
            </w:r>
          </w:p>
        </w:tc>
        <w:tc>
          <w:tcPr>
            <w:tcW w:w="88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lang w:eastAsia="ar-SA"/>
              </w:rPr>
            </w:pPr>
            <w:r>
              <w:rPr>
                <w:rFonts w:cs="Times New Roman" w:ascii="Times New Roman" w:hAnsi="Times New Roman"/>
                <w:b/>
                <w:sz w:val="24"/>
                <w:szCs w:val="24"/>
                <w:lang w:eastAsia="ar-SA"/>
              </w:rPr>
              <w:t>Послуги</w:t>
            </w:r>
          </w:p>
        </w:tc>
      </w:tr>
      <w:tr>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tabs>
                <w:tab w:val="clear" w:pos="708"/>
                <w:tab w:val="left" w:pos="318" w:leader="none"/>
              </w:tabs>
              <w:spacing w:lineRule="auto" w:line="240" w:before="0" w:after="0"/>
              <w:ind w:left="0" w:firstLine="318"/>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88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t>В рамках надання технічної підтримки Виконавець має здійснювати:</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Адміністрування функціонування:</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всіх складових компонентів (програмного забезпечення) інтегрованого рішення DELL IDPA;</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завдання резервного копіювання з використанням та без використання агентів резервного копіювання;</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завдання резервного копіювання віртуальних машин віртуалізованого обчислювального кластеру;</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завдань резервного копіювання додатків інфраструктури Microsoft, зокрема, Microsoft Active Directory, Microsoft SQL Server;</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Виконання відновлення віртуальних машин за заявками Замовника;</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 та/або мікрокодів (firmware) апаратного забезпечення, відповідно до рекомендацій виробника;</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апаратних компонентів інтегрованого рішення DELL IDPA 400 (центральний процесор, оперативна пам’ять, дискові накопичувачі, мережеві карти, блоки живлення, вентилятори, тощо).</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всіх складових компонентів (програмного забезпечення) інтегрованого рішення DELL IDPA;</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результатів виконання резервного копіювання (успішність, або не успішність). Усунення проблем створення резервних копій віртуальних машин та сервісів;</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Виявлення та усунення помилок функціонування системи збереження даних</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Супровід робіт з заміни несправних елементів:</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У разі виходу з ладу апаратних компонентів  інтегрованого рішення DELL IDPA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 </w:t>
            </w:r>
          </w:p>
          <w:p>
            <w:pPr>
              <w:pStyle w:val="ListParagraph"/>
              <w:widowControl w:val="false"/>
              <w:numPr>
                <w:ilvl w:val="2"/>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рішення резервного копіювання та відновлення даних;</w:t>
            </w:r>
          </w:p>
          <w:p>
            <w:pPr>
              <w:pStyle w:val="ListParagraph"/>
              <w:widowControl w:val="false"/>
              <w:numPr>
                <w:ilvl w:val="2"/>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налаштувань;</w:t>
            </w:r>
          </w:p>
          <w:p>
            <w:pPr>
              <w:pStyle w:val="ListParagraph"/>
              <w:widowControl w:val="false"/>
              <w:numPr>
                <w:ilvl w:val="2"/>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 xml:space="preserve">Документація стосовно резервного копіювання та відновлення інформації (наприклад, План резервного копіювання та відновлення інформації, Регламент резервного копіювання та відновлення інформації, Інструкції адміністраторів щодо здійснення резервного копіювання та відновлення інформації); </w:t>
            </w:r>
          </w:p>
          <w:p>
            <w:pPr>
              <w:pStyle w:val="ListParagraph"/>
              <w:widowControl w:val="false"/>
              <w:numPr>
                <w:ilvl w:val="2"/>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Інструкція системного адміністратора щодо експлуатації рішення.</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 виконаних дій;</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прийнятих рішень.</w:t>
            </w:r>
          </w:p>
          <w:p>
            <w:pPr>
              <w:pStyle w:val="ListParagraph"/>
              <w:widowControl w:val="false"/>
              <w:numPr>
                <w:ilvl w:val="1"/>
                <w:numId w:val="8"/>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навчання представників Замовника в частині експлуатації рішення.</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828" w:leader="none"/>
        </w:tabs>
        <w:spacing w:lineRule="auto" w:line="240" w:before="0" w:after="0"/>
        <w:jc w:val="both"/>
        <w:rPr>
          <w:rFonts w:ascii="Times New Roman" w:hAnsi="Times New Roman" w:cs="Times New Roman"/>
          <w:b/>
          <w:b/>
          <w:bCs/>
          <w:strike/>
          <w:sz w:val="24"/>
          <w:szCs w:val="24"/>
        </w:rPr>
      </w:pPr>
      <w:r>
        <w:rPr>
          <w:rFonts w:cs="Times New Roman" w:ascii="Times New Roman" w:hAnsi="Times New Roman"/>
          <w:b/>
          <w:sz w:val="24"/>
          <w:szCs w:val="24"/>
        </w:rPr>
        <w:t xml:space="preserve">Детальний опис складової технічної підтримки в частині </w:t>
      </w:r>
      <w:r>
        <w:rPr>
          <w:rFonts w:cs="Times New Roman" w:ascii="Times New Roman" w:hAnsi="Times New Roman"/>
          <w:b/>
          <w:bCs/>
          <w:sz w:val="24"/>
          <w:szCs w:val="24"/>
        </w:rPr>
        <w:t>мережевого обладнання DELL S5248 (2 шт.), DELL S3148 (1 шт.)</w:t>
      </w:r>
    </w:p>
    <w:tbl>
      <w:tblPr>
        <w:tblW w:w="9810"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92"/>
        <w:gridCol w:w="8817"/>
      </w:tblGrid>
      <w:tr>
        <w:trPr>
          <w:tblHeader w:val="true"/>
        </w:trPr>
        <w:tc>
          <w:tcPr>
            <w:tcW w:w="9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lang w:eastAsia="ar-SA"/>
              </w:rPr>
            </w:pPr>
            <w:r>
              <w:rPr>
                <w:rFonts w:cs="Times New Roman" w:ascii="Times New Roman" w:hAnsi="Times New Roman"/>
                <w:b/>
                <w:sz w:val="24"/>
                <w:szCs w:val="24"/>
                <w:lang w:eastAsia="ar-SA"/>
              </w:rPr>
              <w:t xml:space="preserve">№ </w:t>
            </w:r>
            <w:r>
              <w:rPr>
                <w:rFonts w:cs="Times New Roman" w:ascii="Times New Roman" w:hAnsi="Times New Roman"/>
                <w:b/>
                <w:sz w:val="24"/>
                <w:szCs w:val="24"/>
                <w:lang w:eastAsia="ar-SA"/>
              </w:rPr>
              <w:t>п/п</w:t>
            </w:r>
          </w:p>
        </w:tc>
        <w:tc>
          <w:tcPr>
            <w:tcW w:w="88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lang w:eastAsia="ar-SA"/>
              </w:rPr>
            </w:pPr>
            <w:r>
              <w:rPr>
                <w:rFonts w:cs="Times New Roman" w:ascii="Times New Roman" w:hAnsi="Times New Roman"/>
                <w:b/>
                <w:sz w:val="24"/>
                <w:szCs w:val="24"/>
                <w:lang w:eastAsia="ar-SA"/>
              </w:rPr>
              <w:t>Послуги</w:t>
            </w:r>
          </w:p>
        </w:tc>
      </w:tr>
      <w:tr>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tabs>
                <w:tab w:val="clear" w:pos="708"/>
                <w:tab w:val="left" w:pos="318" w:leader="none"/>
              </w:tabs>
              <w:spacing w:lineRule="auto" w:line="240" w:before="0" w:after="0"/>
              <w:ind w:left="0" w:firstLine="318"/>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88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t>В рамках надання технічної підтримки Виконавець має здійснювати:</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Адміністрування функціонування:</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(модифікація) параметрів функціонування мережевого обладнання DELL S5248, DELL S3148, (далі – компоненти);</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функціонування мережевого обладнання в режимах DE</w:t>
            </w:r>
            <w:r>
              <w:rPr>
                <w:rFonts w:cs="Times New Roman" w:ascii="Times New Roman" w:hAnsi="Times New Roman"/>
                <w:bCs/>
                <w:sz w:val="24"/>
                <w:szCs w:val="24"/>
                <w:lang w:val="en-US" w:eastAsia="ar-SA"/>
              </w:rPr>
              <w:t>L</w:t>
            </w:r>
            <w:r>
              <w:rPr>
                <w:rFonts w:cs="Times New Roman" w:ascii="Times New Roman" w:hAnsi="Times New Roman"/>
                <w:bCs/>
                <w:sz w:val="24"/>
                <w:szCs w:val="24"/>
                <w:lang w:val="uk-UA" w:eastAsia="ar-SA"/>
              </w:rPr>
              <w:t>L VLT;</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мережевих параметрів компонентів;</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маршрутизації (статичної та динамічної з використанням протоколу OSPF);</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зв’язків між обладнанням;</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технологій FHRP (First Hop Redundancy Protocol), зокрема VRRP</w:t>
            </w:r>
            <w:r>
              <w:rPr>
                <w:rFonts w:cs="Times New Roman" w:ascii="Times New Roman" w:hAnsi="Times New Roman"/>
                <w:bCs/>
                <w:strike/>
                <w:sz w:val="24"/>
                <w:szCs w:val="24"/>
                <w:lang w:val="uk-UA" w:eastAsia="ar-SA"/>
              </w:rPr>
              <w:t>;</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віртуальних таблиць маршрутизації VRF;</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протоколів SNMP, NTP, NetFlow, CDP/LLDP;</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 та/або мікрокодів (firmware) апаратного забезпечення, відповідно до рекомендацій виробника;</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trike/>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апаратних компонентів DELL S5248, DELL S3148;</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trike/>
                <w:sz w:val="24"/>
                <w:szCs w:val="24"/>
                <w:lang w:val="uk-UA" w:eastAsia="ar-SA"/>
              </w:rPr>
            </w:pPr>
            <w:r>
              <w:rPr>
                <w:rFonts w:cs="Times New Roman" w:ascii="Times New Roman" w:hAnsi="Times New Roman"/>
                <w:bCs/>
                <w:sz w:val="24"/>
                <w:szCs w:val="24"/>
                <w:lang w:val="uk-UA" w:eastAsia="ar-SA"/>
              </w:rPr>
              <w:t>Отримання та обробка відомостей щодо функціонування операційних систем DELL S5248, DELL S3148;</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ресурсів мережевого обладнання (завантаження процесора, використання оперативної пам’яті, завантаження мережевих інтерфейсів);</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помилок на мережевих інтерфейсах. Вживання засобів усунення проблем функціонування.</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trike/>
                <w:sz w:val="24"/>
                <w:szCs w:val="24"/>
                <w:lang w:val="uk-UA" w:eastAsia="ar-SA"/>
              </w:rPr>
            </w:pPr>
            <w:r>
              <w:rPr>
                <w:rFonts w:cs="Times New Roman" w:ascii="Times New Roman" w:hAnsi="Times New Roman"/>
                <w:bCs/>
                <w:sz w:val="24"/>
                <w:szCs w:val="24"/>
                <w:lang w:val="uk-UA" w:eastAsia="ar-SA"/>
              </w:rPr>
              <w:t>Виявлення та усунення помилок функціонування мережевого обладнання DELL S5248, DELL S3148</w:t>
            </w:r>
            <w:r>
              <w:rPr>
                <w:rFonts w:cs="Times New Roman" w:ascii="Times New Roman" w:hAnsi="Times New Roman"/>
                <w:bCs/>
                <w:strike/>
                <w:sz w:val="24"/>
                <w:szCs w:val="24"/>
                <w:lang w:val="uk-UA" w:eastAsia="ar-SA"/>
              </w:rPr>
              <w:t>.</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Супровід робіт з заміни несправних елементів:</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У разі виходу з ладу апаратних компонентів DELL S5248, DELL S3148, , здійснювати отримання замінних компонентів у виробника;</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pPr>
              <w:pStyle w:val="ListParagraph"/>
              <w:widowControl w:val="false"/>
              <w:spacing w:lineRule="auto" w:line="240" w:before="0" w:after="0"/>
              <w:ind w:left="1440" w:hanging="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r>
          </w:p>
          <w:p>
            <w:pPr>
              <w:pStyle w:val="ListParagraph"/>
              <w:widowControl w:val="false"/>
              <w:numPr>
                <w:ilvl w:val="0"/>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p>
          <w:p>
            <w:pPr>
              <w:pStyle w:val="ListParagraph"/>
              <w:widowControl w:val="false"/>
              <w:numPr>
                <w:ilvl w:val="2"/>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рішення комутації та маршрутизації;</w:t>
            </w:r>
          </w:p>
          <w:p>
            <w:pPr>
              <w:pStyle w:val="ListParagraph"/>
              <w:widowControl w:val="false"/>
              <w:numPr>
                <w:ilvl w:val="2"/>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налаштувань;</w:t>
            </w:r>
          </w:p>
          <w:p>
            <w:pPr>
              <w:pStyle w:val="ListParagraph"/>
              <w:widowControl w:val="false"/>
              <w:numPr>
                <w:ilvl w:val="2"/>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підключень до інших інформаційно-комунікаційних систем;</w:t>
            </w:r>
          </w:p>
          <w:p>
            <w:pPr>
              <w:pStyle w:val="ListParagraph"/>
              <w:widowControl w:val="false"/>
              <w:numPr>
                <w:ilvl w:val="2"/>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Інструкція системного адміністратора щодо експлуатації рішення.</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 виконаних дій;</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прийнятих рішень.</w:t>
            </w:r>
          </w:p>
          <w:p>
            <w:pPr>
              <w:pStyle w:val="ListParagraph"/>
              <w:widowControl w:val="false"/>
              <w:numPr>
                <w:ilvl w:val="1"/>
                <w:numId w:val="9"/>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навчання представників Замовника в частині експлуатації рішення.</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828" w:leader="none"/>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Детальний опис складової технічної підтримки в частині </w:t>
      </w:r>
      <w:r>
        <w:rPr>
          <w:rFonts w:cs="Times New Roman" w:ascii="Times New Roman" w:hAnsi="Times New Roman"/>
          <w:b/>
          <w:bCs/>
          <w:sz w:val="24"/>
          <w:szCs w:val="24"/>
        </w:rPr>
        <w:t xml:space="preserve">інфраструктурних сервісів у складі </w:t>
      </w:r>
      <w:r>
        <w:rPr>
          <w:rFonts w:cs="Times New Roman" w:ascii="Times New Roman" w:hAnsi="Times New Roman"/>
          <w:b/>
          <w:sz w:val="24"/>
          <w:szCs w:val="24"/>
        </w:rPr>
        <w:t>ІКС 112:</w:t>
      </w:r>
    </w:p>
    <w:tbl>
      <w:tblPr>
        <w:tblW w:w="9810"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92"/>
        <w:gridCol w:w="8817"/>
      </w:tblGrid>
      <w:tr>
        <w:trPr>
          <w:tblHeader w:val="true"/>
        </w:trPr>
        <w:tc>
          <w:tcPr>
            <w:tcW w:w="9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lang w:eastAsia="ar-SA"/>
              </w:rPr>
            </w:pPr>
            <w:r>
              <w:rPr>
                <w:rFonts w:cs="Times New Roman" w:ascii="Times New Roman" w:hAnsi="Times New Roman"/>
                <w:b/>
                <w:sz w:val="24"/>
                <w:szCs w:val="24"/>
                <w:lang w:eastAsia="ar-SA"/>
              </w:rPr>
              <w:t xml:space="preserve">№ </w:t>
            </w:r>
            <w:r>
              <w:rPr>
                <w:rFonts w:cs="Times New Roman" w:ascii="Times New Roman" w:hAnsi="Times New Roman"/>
                <w:b/>
                <w:sz w:val="24"/>
                <w:szCs w:val="24"/>
                <w:lang w:eastAsia="ar-SA"/>
              </w:rPr>
              <w:t>п/п</w:t>
            </w:r>
          </w:p>
        </w:tc>
        <w:tc>
          <w:tcPr>
            <w:tcW w:w="88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lang w:eastAsia="ar-SA"/>
              </w:rPr>
            </w:pPr>
            <w:r>
              <w:rPr>
                <w:rFonts w:cs="Times New Roman" w:ascii="Times New Roman" w:hAnsi="Times New Roman"/>
                <w:b/>
                <w:sz w:val="24"/>
                <w:szCs w:val="24"/>
                <w:lang w:eastAsia="ar-SA"/>
              </w:rPr>
              <w:t>Послуги</w:t>
            </w:r>
          </w:p>
        </w:tc>
      </w:tr>
      <w:tr>
        <w:trPr/>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
              </w:numPr>
              <w:tabs>
                <w:tab w:val="clear" w:pos="708"/>
                <w:tab w:val="left" w:pos="318" w:leader="none"/>
              </w:tabs>
              <w:spacing w:lineRule="auto" w:line="240" w:before="0" w:after="0"/>
              <w:ind w:left="0" w:firstLine="318"/>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88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t>В рамках надання технічної підтримки Виконавець має здійснювати:</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Розгортання, налаштування та адміністрування сервісів, що забезпечують функціонування інфраструктури замовника (не обмежуючись):</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Сервіс DHCP</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Планування адресного простору (VLAN/блоки адрес);</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Налаштування сервісів DHCP для користувачів.</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Сервіс DNS</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Планування та розгортання інфраструктури DNS у відмовостійкому режимі;</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доменних зон для забезпечення функціонування сервісів і компонентів;</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Створення та модифікація записів доменних зон;</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Сервіс Microsoft Active Directory:</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Планування та розгортання інфраструктури Microsoft Active Directory;</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Планування простору імен (Namespace DNS).</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дизайну використання та впровадження простору імен (Namespace Design).</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логічної структури інфраструктури Microsoft Active Directory: лісів (Forest) та доменних дерев (Tree).</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 xml:space="preserve">Розробка та впровадження підходів до масштабування контролерів домену. </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відмовостійкого дизайну.</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підходів до іменування об’єктів домену.</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дизайну доменних імен (DNS).</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взаємодії доменних імен зі сторонніми доменними серверами, делегування доменних імен.</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структури організаційних одиниць (Organization Units).</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структури користувачів, груп та ролей.</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та впровадження підходів до забезпечення безпеки контролерів домену та інфраструктури Active Directory відповідно вимогам політик інформаційної безпеки підприємства.</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Розробка структури та впровадження групових політик.</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 xml:space="preserve">Розробка структури центрів сертифікації. </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Підключення автоматизованих робочих місць та серверів до корпоративного домену Active Directory.</w:t>
            </w:r>
          </w:p>
          <w:p>
            <w:pPr>
              <w:pStyle w:val="ListParagraph"/>
              <w:widowControl w:val="false"/>
              <w:numPr>
                <w:ilvl w:val="2"/>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оновлення програмного забезпечення.</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Моніторинг функціонування інфраструктурних сервісів:</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Отримання та обробка відомостей щодо коректності функціонування інфраструктурних сервісів;</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Виявлення та усунення помилок функціонування інфраструктурних сервісів.</w:t>
            </w:r>
          </w:p>
          <w:p>
            <w:pPr>
              <w:pStyle w:val="Normal"/>
              <w:widowControl w:val="false"/>
              <w:spacing w:lineRule="auto" w:line="240" w:before="0" w:after="0"/>
              <w:jc w:val="both"/>
              <w:rPr>
                <w:rFonts w:ascii="Times New Roman" w:hAnsi="Times New Roman" w:cs="Times New Roman"/>
                <w:bCs/>
                <w:sz w:val="24"/>
                <w:szCs w:val="24"/>
                <w:lang w:eastAsia="ar-SA"/>
              </w:rPr>
            </w:pPr>
            <w:r>
              <w:rPr>
                <w:rFonts w:cs="Times New Roman" w:ascii="Times New Roman" w:hAnsi="Times New Roman"/>
                <w:bCs/>
                <w:sz w:val="24"/>
                <w:szCs w:val="24"/>
                <w:lang w:eastAsia="ar-SA"/>
              </w:rPr>
            </w:r>
          </w:p>
          <w:p>
            <w:pPr>
              <w:pStyle w:val="ListParagraph"/>
              <w:widowControl w:val="false"/>
              <w:numPr>
                <w:ilvl w:val="0"/>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Документування виконаних дій;</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Опис прийнятих рішень.</w:t>
            </w:r>
          </w:p>
          <w:p>
            <w:pPr>
              <w:pStyle w:val="ListParagraph"/>
              <w:widowControl w:val="false"/>
              <w:numPr>
                <w:ilvl w:val="1"/>
                <w:numId w:val="10"/>
              </w:numPr>
              <w:suppressAutoHyphens w:val="false"/>
              <w:spacing w:lineRule="auto" w:line="240" w:before="0" w:after="0"/>
              <w:contextualSpacing/>
              <w:jc w:val="both"/>
              <w:rPr>
                <w:rFonts w:ascii="Times New Roman" w:hAnsi="Times New Roman" w:cs="Times New Roman"/>
                <w:bCs/>
                <w:sz w:val="24"/>
                <w:szCs w:val="24"/>
                <w:lang w:val="uk-UA" w:eastAsia="ar-SA"/>
              </w:rPr>
            </w:pPr>
            <w:r>
              <w:rPr>
                <w:rFonts w:cs="Times New Roman" w:ascii="Times New Roman" w:hAnsi="Times New Roman"/>
                <w:bCs/>
                <w:sz w:val="24"/>
                <w:szCs w:val="24"/>
                <w:lang w:val="uk-UA" w:eastAsia="ar-SA"/>
              </w:rPr>
              <w:t>Проведення навчання представників Замовника в частині експлуатації рішення.</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Вимоги до якості надання Послуг (SLA) та Регламент взаємодії при наданні Послуги з технічної підтримки та обслуговування ІКС 112.</w:t>
      </w:r>
    </w:p>
    <w:p>
      <w:pPr>
        <w:pStyle w:val="Normal"/>
        <w:numPr>
          <w:ilvl w:val="0"/>
          <w:numId w:val="0"/>
        </w:numPr>
        <w:tabs>
          <w:tab w:val="clear" w:pos="708"/>
          <w:tab w:val="left" w:pos="27" w:leader="none"/>
          <w:tab w:val="left" w:pos="540" w:leader="none"/>
        </w:tabs>
        <w:spacing w:lineRule="auto" w:line="240" w:before="120" w:after="0"/>
        <w:ind w:left="540" w:hanging="540"/>
        <w:jc w:val="both"/>
        <w:rPr>
          <w:rFonts w:ascii="Times New Roman" w:hAnsi="Times New Roman" w:cs="Times New Roman"/>
          <w:b/>
          <w:b/>
          <w:sz w:val="24"/>
          <w:szCs w:val="24"/>
        </w:rPr>
      </w:pPr>
      <w:r>
        <w:rPr>
          <w:rFonts w:cs="Times New Roman" w:ascii="Times New Roman" w:hAnsi="Times New Roman"/>
          <w:b/>
          <w:sz w:val="24"/>
          <w:szCs w:val="24"/>
        </w:rPr>
        <w:t>Прийом, реєстрація та контроль звернень Замовника</w:t>
      </w:r>
    </w:p>
    <w:p>
      <w:pPr>
        <w:pStyle w:val="Normal"/>
        <w:tabs>
          <w:tab w:val="clear" w:pos="708"/>
          <w:tab w:val="left" w:pos="90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Послуги надаються на основі прийнятих звернень Замовника.</w:t>
      </w:r>
    </w:p>
    <w:p>
      <w:pPr>
        <w:pStyle w:val="Normal"/>
        <w:tabs>
          <w:tab w:val="clear" w:pos="708"/>
          <w:tab w:val="left" w:pos="90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Звернення приймаються Виконавцем від уповноважених осіб Замовника одним з наступних способів:</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по електронній пошті на адресу Виконавця;</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по телефону відповідальних інженерів Виконавця (у разі недоступності інших засобів).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поданні звернення уповноважений представник Замовника повинен повідомити наступні дані: </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 xml:space="preserve">номер Договору, згідно якого подається звернення та адресу експлуатації </w:t>
      </w:r>
      <w:r>
        <w:rPr>
          <w:rFonts w:eastAsia="Calibri" w:cs="Times New Roman" w:ascii="Times New Roman" w:hAnsi="Times New Roman"/>
          <w:sz w:val="24"/>
          <w:szCs w:val="24"/>
        </w:rPr>
        <w:t>ІКС 112</w:t>
      </w:r>
      <w:r>
        <w:rPr>
          <w:rFonts w:cs="Times New Roman" w:ascii="Times New Roman" w:hAnsi="Times New Roman"/>
          <w:sz w:val="24"/>
          <w:szCs w:val="24"/>
        </w:rPr>
        <w:t>;</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пріоритет звернення (згідно з визначенням пріоритетів);</w:t>
      </w:r>
    </w:p>
    <w:p>
      <w:pPr>
        <w:pStyle w:val="Normal"/>
        <w:numPr>
          <w:ilvl w:val="2"/>
          <w:numId w:val="3"/>
        </w:numPr>
        <w:tabs>
          <w:tab w:val="clear" w:pos="708"/>
          <w:tab w:val="left" w:pos="993" w:leader="none"/>
        </w:tabs>
        <w:spacing w:lineRule="auto" w:line="240" w:before="0" w:after="0"/>
        <w:ind w:left="993" w:hanging="284"/>
        <w:jc w:val="both"/>
        <w:rPr>
          <w:rFonts w:ascii="Times New Roman" w:hAnsi="Times New Roman" w:cs="Times New Roman"/>
          <w:sz w:val="24"/>
          <w:szCs w:val="24"/>
        </w:rPr>
      </w:pPr>
      <w:r>
        <w:rPr>
          <w:rFonts w:cs="Times New Roman" w:ascii="Times New Roman" w:hAnsi="Times New Roman"/>
          <w:sz w:val="24"/>
          <w:szCs w:val="24"/>
        </w:rPr>
        <w:t>детальний опис проблеми або діагностичну інформацію.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pPr>
        <w:pStyle w:val="Normal"/>
        <w:spacing w:lineRule="auto" w:line="240" w:before="240" w:after="0"/>
        <w:rPr>
          <w:rFonts w:ascii="Times New Roman" w:hAnsi="Times New Roman" w:cs="Times New Roman"/>
          <w:b/>
          <w:b/>
          <w:color w:val="FF0000"/>
          <w:sz w:val="24"/>
          <w:szCs w:val="24"/>
        </w:rPr>
      </w:pPr>
      <w:r>
        <w:rPr>
          <w:rFonts w:cs="Times New Roman" w:ascii="Times New Roman" w:hAnsi="Times New Roman"/>
          <w:b/>
          <w:sz w:val="24"/>
          <w:szCs w:val="24"/>
        </w:rPr>
        <w:t>Пріоритети Звернень</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59"/>
        <w:gridCol w:w="7477"/>
      </w:tblGrid>
      <w:tr>
        <w:trPr>
          <w:tblHeader w:val="true"/>
        </w:trPr>
        <w:tc>
          <w:tcPr>
            <w:tcW w:w="215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Пріоритет</w:t>
            </w:r>
          </w:p>
        </w:tc>
        <w:tc>
          <w:tcPr>
            <w:tcW w:w="74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Опис</w:t>
            </w:r>
          </w:p>
        </w:tc>
      </w:tr>
      <w:tr>
        <w:trPr/>
        <w:tc>
          <w:tcPr>
            <w:tcW w:w="21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Пріоритет 1</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Критичний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7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Повністю непрацездатні складові гіперконвергентного обчислювального кластеру </w:t>
            </w:r>
            <w:r>
              <w:rPr>
                <w:rFonts w:eastAsia="Calibri" w:cs="Times New Roman" w:ascii="Times New Roman" w:hAnsi="Times New Roman"/>
                <w:sz w:val="24"/>
                <w:szCs w:val="24"/>
              </w:rPr>
              <w:t>ІКС 112</w:t>
            </w:r>
            <w:r>
              <w:rPr>
                <w:rFonts w:cs="Times New Roman" w:ascii="Times New Roman" w:hAnsi="Times New Roman"/>
                <w:sz w:val="24"/>
                <w:szCs w:val="24"/>
              </w:rPr>
              <w:t xml:space="preserve"> критичної важливості. А саме:</w:t>
            </w:r>
          </w:p>
          <w:p>
            <w:pPr>
              <w:pStyle w:val="Normal"/>
              <w:widowControl w:val="false"/>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Гіперконвергентний обчислювальний кластер DELL VxRail </w:t>
            </w:r>
          </w:p>
          <w:p>
            <w:pPr>
              <w:pStyle w:val="Normal"/>
              <w:widowControl w:val="false"/>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СЗД DELL PowerScale</w:t>
            </w:r>
          </w:p>
          <w:p>
            <w:pPr>
              <w:pStyle w:val="Normal"/>
              <w:widowControl w:val="false"/>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СРК DELL IDPA 4400</w:t>
            </w:r>
          </w:p>
          <w:p>
            <w:pPr>
              <w:pStyle w:val="Normal"/>
              <w:widowControl w:val="false"/>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Мережеве обладнання, DELL S5248, DELL S3148.</w:t>
            </w:r>
          </w:p>
        </w:tc>
      </w:tr>
      <w:tr>
        <w:trPr>
          <w:trHeight w:val="580" w:hRule="atLeast"/>
        </w:trPr>
        <w:tc>
          <w:tcPr>
            <w:tcW w:w="21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Пріоритет 5</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Низький </w:t>
            </w:r>
          </w:p>
        </w:tc>
        <w:tc>
          <w:tcPr>
            <w:tcW w:w="7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Звернення щодо консультацій стосовно функції гіперконвергентного обчислювального кластеру </w:t>
            </w:r>
            <w:r>
              <w:rPr>
                <w:rFonts w:eastAsia="Calibri" w:cs="Times New Roman" w:ascii="Times New Roman" w:hAnsi="Times New Roman"/>
                <w:sz w:val="24"/>
                <w:szCs w:val="24"/>
              </w:rPr>
              <w:t>ІКС 112</w:t>
            </w:r>
            <w:r>
              <w:rPr>
                <w:rFonts w:cs="Times New Roman" w:ascii="Times New Roman" w:hAnsi="Times New Roman"/>
                <w:sz w:val="24"/>
                <w:szCs w:val="24"/>
              </w:rPr>
              <w:t xml:space="preserve">, а також звернення на надання послуг з розвитку окремих функцій гіперконвергентного обчислювального кластеру </w:t>
            </w:r>
            <w:r>
              <w:rPr>
                <w:rFonts w:eastAsia="Calibri" w:cs="Times New Roman" w:ascii="Times New Roman" w:hAnsi="Times New Roman"/>
                <w:sz w:val="24"/>
                <w:szCs w:val="24"/>
              </w:rPr>
              <w:t>ІКС 112</w:t>
            </w:r>
            <w:r>
              <w:rPr>
                <w:rFonts w:cs="Times New Roman" w:ascii="Times New Roman" w:hAnsi="Times New Roman"/>
                <w:sz w:val="24"/>
                <w:szCs w:val="24"/>
              </w:rPr>
              <w:t xml:space="preserve">. </w:t>
            </w:r>
          </w:p>
        </w:tc>
      </w:tr>
    </w:tbl>
    <w:p>
      <w:pPr>
        <w:pStyle w:val="Normal"/>
        <w:spacing w:lineRule="auto" w:line="240" w:before="0" w:after="0"/>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Час надання Послуг, час реакції відповідно до Пріоритету Звернення</w:t>
      </w:r>
      <w:r>
        <w:rPr>
          <w:rFonts w:eastAsia="Calibri" w:cs="Times New Roman" w:ascii="Times New Roman" w:hAnsi="Times New Roman"/>
          <w:sz w:val="24"/>
          <w:szCs w:val="24"/>
        </w:rPr>
        <w:t xml:space="preserve">        </w:t>
      </w:r>
    </w:p>
    <w:tbl>
      <w:tblPr>
        <w:tblW w:w="40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5"/>
        <w:gridCol w:w="2295"/>
        <w:gridCol w:w="1935"/>
        <w:gridCol w:w="1839"/>
      </w:tblGrid>
      <w:tr>
        <w:trPr/>
        <w:tc>
          <w:tcPr>
            <w:tcW w:w="1735"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vAlign w:val="center"/>
          </w:tcPr>
          <w:p>
            <w:pPr>
              <w:pStyle w:val="Normal"/>
              <w:widowControl w:val="false"/>
              <w:spacing w:lineRule="auto" w:line="240" w:before="0" w:after="0"/>
              <w:ind w:left="313" w:hanging="0"/>
              <w:rPr>
                <w:rFonts w:ascii="Times New Roman" w:hAnsi="Times New Roman" w:cs="Times New Roman"/>
                <w:b/>
                <w:b/>
                <w:sz w:val="24"/>
                <w:szCs w:val="24"/>
              </w:rPr>
            </w:pPr>
            <w:r>
              <w:rPr>
                <w:rFonts w:cs="Times New Roman" w:ascii="Times New Roman" w:hAnsi="Times New Roman"/>
                <w:b/>
                <w:sz w:val="24"/>
                <w:szCs w:val="24"/>
              </w:rPr>
              <w:t>Пріоритет</w:t>
            </w:r>
          </w:p>
        </w:tc>
        <w:tc>
          <w:tcPr>
            <w:tcW w:w="2295"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Час</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підтримки</w:t>
            </w:r>
          </w:p>
        </w:tc>
        <w:tc>
          <w:tcPr>
            <w:tcW w:w="1935"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Час реакції,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робочих годин</w:t>
            </w:r>
          </w:p>
        </w:tc>
        <w:tc>
          <w:tcPr>
            <w:tcW w:w="1839" w:type="dxa"/>
            <w:tcBorders>
              <w:top w:val="single" w:sz="6" w:space="0" w:color="000000"/>
              <w:left w:val="single" w:sz="6" w:space="0" w:color="000000"/>
              <w:bottom w:val="single" w:sz="6" w:space="0" w:color="000000"/>
              <w:right w:val="single" w:sz="4" w:space="0" w:color="000000"/>
            </w:tcBorders>
            <w:shd w:color="auto" w:fill="D9D9D9" w:themeFill="background1" w:themeFillShade="d9" w:val="clear"/>
            <w:tcMar>
              <w:left w:w="7" w:type="dxa"/>
              <w:right w:w="7" w:type="dxa"/>
            </w:tcMa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Час відновлення працездатності</w:t>
            </w:r>
          </w:p>
        </w:tc>
      </w:tr>
      <w:tr>
        <w:trPr/>
        <w:tc>
          <w:tcPr>
            <w:tcW w:w="17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 * 7</w:t>
            </w:r>
          </w:p>
        </w:tc>
        <w:tc>
          <w:tcPr>
            <w:tcW w:w="19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839" w:type="dxa"/>
            <w:tcBorders>
              <w:top w:val="single" w:sz="6" w:space="0" w:color="000000"/>
              <w:left w:val="single" w:sz="6" w:space="0" w:color="000000"/>
              <w:bottom w:val="single" w:sz="6" w:space="0" w:color="000000"/>
              <w:right w:val="single" w:sz="4" w:space="0" w:color="000000"/>
            </w:tcBorders>
            <w:tcMar>
              <w:left w:w="7" w:type="dxa"/>
              <w:right w:w="7" w:type="dxa"/>
            </w:tcM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lang w:val="ru-RU"/>
              </w:rPr>
              <w:t>4 *</w:t>
            </w:r>
          </w:p>
        </w:tc>
      </w:tr>
      <w:tr>
        <w:trPr/>
        <w:tc>
          <w:tcPr>
            <w:tcW w:w="17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 * 5 (з 9 до 18)</w:t>
            </w:r>
          </w:p>
        </w:tc>
        <w:tc>
          <w:tcPr>
            <w:tcW w:w="19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NBD</w:t>
            </w:r>
          </w:p>
        </w:tc>
        <w:tc>
          <w:tcPr>
            <w:tcW w:w="1839" w:type="dxa"/>
            <w:tcBorders>
              <w:top w:val="single" w:sz="6" w:space="0" w:color="000000"/>
              <w:left w:val="single" w:sz="6" w:space="0" w:color="000000"/>
              <w:bottom w:val="single" w:sz="6" w:space="0" w:color="000000"/>
              <w:right w:val="single" w:sz="4" w:space="0" w:color="000000"/>
            </w:tcBorders>
            <w:tcMar>
              <w:left w:w="7" w:type="dxa"/>
              <w:right w:w="7" w:type="dxa"/>
            </w:tcM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домовленістю</w:t>
            </w:r>
          </w:p>
        </w:tc>
      </w:tr>
    </w:tbl>
    <w:p>
      <w:pPr>
        <w:pStyle w:val="Normal"/>
        <w:pBdr/>
        <w:spacing w:lineRule="auto" w:line="240" w:before="240" w:after="0"/>
        <w:jc w:val="both"/>
        <w:rPr>
          <w:rFonts w:ascii="Times New Roman" w:hAnsi="Times New Roman" w:eastAsia="Calibri" w:cs="Times New Roman"/>
          <w:sz w:val="24"/>
          <w:szCs w:val="24"/>
        </w:rPr>
      </w:pPr>
      <w:r>
        <w:rPr>
          <w:rFonts w:eastAsia="Calibri" w:cs="Times New Roman" w:ascii="Times New Roman" w:hAnsi="Times New Roman"/>
          <w:sz w:val="24"/>
          <w:szCs w:val="24"/>
        </w:rPr>
        <w:t>*</w:t>
      </w:r>
      <w:r>
        <w:rPr>
          <w:rFonts w:cs="Times New Roman" w:ascii="Times New Roman" w:hAnsi="Times New Roman"/>
          <w:sz w:val="24"/>
          <w:szCs w:val="24"/>
        </w:rPr>
        <w:t>при умові, що обладнання знаходиться на підтримці вендора та надання запчастин вендором</w:t>
      </w:r>
    </w:p>
    <w:p>
      <w:pPr>
        <w:pStyle w:val="Normal"/>
        <w:keepNext w:val="true"/>
        <w:keepLines/>
        <w:numPr>
          <w:ilvl w:val="0"/>
          <w:numId w:val="0"/>
        </w:numPr>
        <w:spacing w:lineRule="auto" w:line="240" w:before="240" w:after="0"/>
        <w:outlineLvl w:val="0"/>
        <w:rPr>
          <w:rFonts w:ascii="Times New Roman" w:hAnsi="Times New Roman" w:eastAsia="" w:cs="Times New Roman" w:eastAsiaTheme="majorEastAsia"/>
          <w:b/>
          <w:b/>
          <w:bCs/>
          <w:sz w:val="24"/>
          <w:szCs w:val="24"/>
          <w:u w:val="single"/>
        </w:rPr>
      </w:pPr>
      <w:r>
        <w:rPr>
          <w:rFonts w:eastAsia="" w:cs="Times New Roman" w:ascii="Times New Roman" w:hAnsi="Times New Roman" w:eastAsiaTheme="majorEastAsia"/>
          <w:b/>
          <w:bCs/>
          <w:sz w:val="24"/>
          <w:szCs w:val="24"/>
          <w:u w:val="single"/>
        </w:rPr>
        <w:t xml:space="preserve">Подовження сервісної підтримки, для </w:t>
      </w:r>
      <w:r>
        <w:rPr>
          <w:rFonts w:eastAsia="" w:cs="Times New Roman" w:ascii="Times New Roman" w:hAnsi="Times New Roman" w:eastAsiaTheme="majorEastAsia"/>
          <w:b/>
          <w:bCs/>
          <w:sz w:val="24"/>
          <w:szCs w:val="24"/>
          <w:u w:val="single"/>
          <w:lang w:val="en-US"/>
        </w:rPr>
        <w:t>Cisco</w:t>
      </w:r>
      <w:r>
        <w:rPr>
          <w:rFonts w:eastAsia="" w:cs="Times New Roman" w:ascii="Times New Roman" w:hAnsi="Times New Roman" w:eastAsiaTheme="majorEastAsia"/>
          <w:b/>
          <w:bCs/>
          <w:sz w:val="24"/>
          <w:szCs w:val="24"/>
          <w:u w:val="single"/>
        </w:rPr>
        <w:t xml:space="preserve"> </w:t>
      </w:r>
      <w:r>
        <w:rPr>
          <w:rFonts w:eastAsia="" w:cs="Times New Roman" w:ascii="Times New Roman" w:hAnsi="Times New Roman" w:eastAsiaTheme="majorEastAsia"/>
          <w:b/>
          <w:bCs/>
          <w:sz w:val="24"/>
          <w:szCs w:val="24"/>
          <w:u w:val="single"/>
          <w:lang w:val="en-US"/>
        </w:rPr>
        <w:t>BE</w:t>
      </w:r>
      <w:r>
        <w:rPr>
          <w:rFonts w:eastAsia="" w:cs="Times New Roman" w:ascii="Times New Roman" w:hAnsi="Times New Roman" w:eastAsiaTheme="majorEastAsia"/>
          <w:b/>
          <w:bCs/>
          <w:sz w:val="24"/>
          <w:szCs w:val="24"/>
          <w:u w:val="single"/>
        </w:rPr>
        <w:t xml:space="preserve"> </w:t>
      </w:r>
      <w:r>
        <w:rPr>
          <w:rFonts w:eastAsia="" w:cs="Times New Roman" w:ascii="Times New Roman" w:hAnsi="Times New Roman" w:eastAsiaTheme="majorEastAsia"/>
          <w:b/>
          <w:bCs/>
          <w:sz w:val="24"/>
          <w:szCs w:val="24"/>
          <w:u w:val="single"/>
          <w:lang w:val="en-US"/>
        </w:rPr>
        <w:t>Embedded</w:t>
      </w:r>
      <w:r>
        <w:rPr>
          <w:rFonts w:eastAsia="" w:cs="Times New Roman" w:ascii="Times New Roman" w:hAnsi="Times New Roman" w:eastAsiaTheme="majorEastAsia"/>
          <w:b/>
          <w:bCs/>
          <w:sz w:val="24"/>
          <w:szCs w:val="24"/>
          <w:u w:val="single"/>
        </w:rPr>
        <w:t xml:space="preserve"> </w:t>
      </w:r>
      <w:r>
        <w:rPr>
          <w:rFonts w:eastAsia="" w:cs="Times New Roman" w:ascii="Times New Roman" w:hAnsi="Times New Roman" w:eastAsiaTheme="majorEastAsia"/>
          <w:b/>
          <w:bCs/>
          <w:sz w:val="24"/>
          <w:szCs w:val="24"/>
          <w:u w:val="single"/>
          <w:lang w:val="en-US"/>
        </w:rPr>
        <w:t>Virt</w:t>
      </w:r>
      <w:r>
        <w:rPr>
          <w:rFonts w:eastAsia="" w:cs="Times New Roman" w:ascii="Times New Roman" w:hAnsi="Times New Roman" w:eastAsiaTheme="majorEastAsia"/>
          <w:b/>
          <w:bCs/>
          <w:sz w:val="24"/>
          <w:szCs w:val="24"/>
          <w:u w:val="single"/>
        </w:rPr>
        <w:t xml:space="preserve">. </w:t>
      </w:r>
      <w:r>
        <w:rPr>
          <w:rFonts w:eastAsia="" w:cs="Times New Roman" w:ascii="Times New Roman" w:hAnsi="Times New Roman" w:eastAsiaTheme="majorEastAsia"/>
          <w:b/>
          <w:bCs/>
          <w:sz w:val="24"/>
          <w:szCs w:val="24"/>
          <w:u w:val="single"/>
          <w:lang w:val="en-US"/>
        </w:rPr>
        <w:t>Basic Plus 7x, BE6K/7K only</w:t>
      </w:r>
      <w:r>
        <w:rPr>
          <w:rFonts w:eastAsia="" w:cs="Times New Roman" w:ascii="Times New Roman" w:hAnsi="Times New Roman" w:eastAsiaTheme="majorEastAsia"/>
          <w:b/>
          <w:bCs/>
          <w:sz w:val="24"/>
          <w:szCs w:val="24"/>
          <w:u w:val="single"/>
        </w:rPr>
        <w:t xml:space="preserve"> (CON-ECMU-BE67KVSP), </w:t>
      </w:r>
      <w:r>
        <w:rPr>
          <w:rFonts w:eastAsia="" w:cs="Times New Roman" w:ascii="Times New Roman" w:hAnsi="Times New Roman" w:eastAsiaTheme="majorEastAsia"/>
          <w:b/>
          <w:bCs/>
          <w:sz w:val="24"/>
          <w:szCs w:val="24"/>
          <w:u w:val="single"/>
          <w:lang w:val="en-US"/>
        </w:rPr>
        <w:t>4</w:t>
      </w:r>
      <w:r>
        <w:rPr>
          <w:rFonts w:eastAsia="" w:cs="Times New Roman" w:ascii="Times New Roman" w:hAnsi="Times New Roman" w:eastAsiaTheme="majorEastAsia"/>
          <w:b/>
          <w:bCs/>
          <w:sz w:val="24"/>
          <w:szCs w:val="24"/>
          <w:u w:val="single"/>
        </w:rPr>
        <w:t xml:space="preserve"> шт.</w:t>
      </w:r>
    </w:p>
    <w:tbl>
      <w:tblPr>
        <w:tblStyle w:val="a5"/>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82"/>
        <w:gridCol w:w="7762"/>
      </w:tblGrid>
      <w:tr>
        <w:trPr/>
        <w:tc>
          <w:tcPr>
            <w:tcW w:w="158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підтримка (не гірше)</w:t>
            </w:r>
          </w:p>
        </w:tc>
        <w:tc>
          <w:tcPr>
            <w:tcW w:w="7762" w:type="dxa"/>
            <w:tcBorders/>
          </w:tcPr>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підписки повинна мати строк дії не менше ніж на 2,94 місяці;</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Постійний (24х7) авторизований доступ до сайту виробника.</w:t>
            </w:r>
          </w:p>
        </w:tc>
      </w:tr>
    </w:tbl>
    <w:p>
      <w:pPr>
        <w:pStyle w:val="Normal"/>
        <w:keepNext w:val="true"/>
        <w:keepLines/>
        <w:numPr>
          <w:ilvl w:val="0"/>
          <w:numId w:val="0"/>
        </w:numPr>
        <w:spacing w:lineRule="auto" w:line="240" w:before="240" w:after="0"/>
        <w:outlineLvl w:val="0"/>
        <w:rPr>
          <w:rFonts w:ascii="Times New Roman" w:hAnsi="Times New Roman" w:eastAsia="" w:cs="Times New Roman" w:eastAsiaTheme="majorEastAsia"/>
          <w:b/>
          <w:b/>
          <w:bCs/>
          <w:sz w:val="24"/>
          <w:szCs w:val="24"/>
          <w:u w:val="single"/>
        </w:rPr>
      </w:pPr>
      <w:r>
        <w:rPr>
          <w:rFonts w:eastAsia="" w:cs="Times New Roman" w:ascii="Times New Roman" w:hAnsi="Times New Roman" w:eastAsiaTheme="majorEastAsia"/>
          <w:b/>
          <w:bCs/>
          <w:sz w:val="24"/>
          <w:szCs w:val="24"/>
          <w:u w:val="single"/>
        </w:rPr>
        <w:t xml:space="preserve">Подовження сервісної підтримки, для </w:t>
      </w:r>
      <w:r>
        <w:rPr>
          <w:rFonts w:eastAsia="" w:cs="Times New Roman" w:ascii="Times New Roman" w:hAnsi="Times New Roman" w:eastAsiaTheme="majorEastAsia"/>
          <w:b/>
          <w:bCs/>
          <w:sz w:val="24"/>
          <w:szCs w:val="24"/>
          <w:u w:val="single"/>
          <w:lang w:val="en-US"/>
        </w:rPr>
        <w:t>Cisco Business Edition 7000H (M5) Appliance, Export Restr SW</w:t>
      </w:r>
      <w:r>
        <w:rPr>
          <w:rFonts w:eastAsia="" w:cs="Times New Roman" w:ascii="Times New Roman" w:hAnsi="Times New Roman" w:eastAsiaTheme="majorEastAsia"/>
          <w:b/>
          <w:bCs/>
          <w:sz w:val="24"/>
          <w:szCs w:val="24"/>
          <w:u w:val="single"/>
        </w:rPr>
        <w:t xml:space="preserve"> (CON-SNT-BE79M5KH), </w:t>
      </w:r>
      <w:r>
        <w:rPr>
          <w:rFonts w:eastAsia="" w:cs="Times New Roman" w:ascii="Times New Roman" w:hAnsi="Times New Roman" w:eastAsiaTheme="majorEastAsia"/>
          <w:b/>
          <w:bCs/>
          <w:sz w:val="24"/>
          <w:szCs w:val="24"/>
          <w:u w:val="single"/>
          <w:lang w:val="en-US"/>
        </w:rPr>
        <w:t>4</w:t>
      </w:r>
      <w:r>
        <w:rPr>
          <w:rFonts w:eastAsia="" w:cs="Times New Roman" w:ascii="Times New Roman" w:hAnsi="Times New Roman" w:eastAsiaTheme="majorEastAsia"/>
          <w:b/>
          <w:bCs/>
          <w:sz w:val="24"/>
          <w:szCs w:val="24"/>
          <w:u w:val="single"/>
        </w:rPr>
        <w:t xml:space="preserve"> шт.</w:t>
      </w:r>
    </w:p>
    <w:tbl>
      <w:tblPr>
        <w:tblStyle w:val="a5"/>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82"/>
        <w:gridCol w:w="7762"/>
      </w:tblGrid>
      <w:tr>
        <w:trPr/>
        <w:tc>
          <w:tcPr>
            <w:tcW w:w="158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підтримка (не гірше)</w:t>
            </w:r>
          </w:p>
        </w:tc>
        <w:tc>
          <w:tcPr>
            <w:tcW w:w="7762" w:type="dxa"/>
            <w:tcBorders/>
          </w:tcPr>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підписки повинна мати строк дії не менше ніж на 12 місяців;</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Виробник забезпечує авансову гарантійну заміну обладнання в режимі 8х5х</w:t>
            </w:r>
            <w:r>
              <w:rPr>
                <w:rFonts w:eastAsia="Calibri" w:cs="Times New Roman" w:ascii="Times New Roman" w:hAnsi="Times New Roman"/>
                <w:kern w:val="0"/>
                <w:sz w:val="24"/>
                <w:szCs w:val="24"/>
                <w:lang w:val="en-US" w:eastAsia="en-US" w:bidi="ar-SA"/>
              </w:rPr>
              <w:t>NBD</w:t>
            </w:r>
            <w:r>
              <w:rPr>
                <w:rFonts w:eastAsia="Calibri" w:cs="Times New Roman" w:ascii="Times New Roman" w:hAnsi="Times New Roman"/>
                <w:kern w:val="0"/>
                <w:sz w:val="24"/>
                <w:szCs w:val="24"/>
                <w:lang w:eastAsia="en-US" w:bidi="ar-SA"/>
              </w:rPr>
              <w:t xml:space="preserve"> (5 днів, 8 години, наступний робочий день), у випадку підтвердження необхідності заміни спеціалістом сервісної підтримки виробника;</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Постійний (24х7) авторизований доступ до сайту виробника.</w:t>
            </w:r>
          </w:p>
        </w:tc>
      </w:tr>
    </w:tbl>
    <w:p>
      <w:pPr>
        <w:pStyle w:val="Normal"/>
        <w:keepNext w:val="true"/>
        <w:keepLines/>
        <w:numPr>
          <w:ilvl w:val="0"/>
          <w:numId w:val="0"/>
        </w:numPr>
        <w:spacing w:lineRule="auto" w:line="240" w:before="240" w:after="0"/>
        <w:outlineLvl w:val="0"/>
        <w:rPr>
          <w:rFonts w:ascii="Times New Roman" w:hAnsi="Times New Roman" w:eastAsia="" w:cs="Times New Roman" w:eastAsiaTheme="majorEastAsia"/>
          <w:b/>
          <w:b/>
          <w:bCs/>
          <w:sz w:val="24"/>
          <w:szCs w:val="24"/>
          <w:u w:val="single"/>
        </w:rPr>
      </w:pPr>
      <w:r>
        <w:rPr>
          <w:rFonts w:eastAsia="" w:cs="Times New Roman" w:ascii="Times New Roman" w:hAnsi="Times New Roman" w:eastAsiaTheme="majorEastAsia"/>
          <w:b/>
          <w:bCs/>
          <w:sz w:val="24"/>
          <w:szCs w:val="24"/>
          <w:u w:val="single"/>
        </w:rPr>
        <w:t xml:space="preserve">Подовження сервісної підтримки, для Cisco Business Edition 7000H (M6) Appliance, Export Restr SW (CON-SNT-BE7HM6KM), </w:t>
      </w:r>
      <w:r>
        <w:rPr>
          <w:rFonts w:eastAsia="" w:cs="Times New Roman" w:ascii="Times New Roman" w:hAnsi="Times New Roman" w:eastAsiaTheme="majorEastAsia"/>
          <w:b/>
          <w:bCs/>
          <w:sz w:val="24"/>
          <w:szCs w:val="24"/>
          <w:u w:val="single"/>
          <w:lang w:val="en-US"/>
        </w:rPr>
        <w:t>2</w:t>
      </w:r>
      <w:r>
        <w:rPr>
          <w:rFonts w:eastAsia="" w:cs="Times New Roman" w:ascii="Times New Roman" w:hAnsi="Times New Roman" w:eastAsiaTheme="majorEastAsia"/>
          <w:b/>
          <w:bCs/>
          <w:sz w:val="24"/>
          <w:szCs w:val="24"/>
          <w:u w:val="single"/>
        </w:rPr>
        <w:t xml:space="preserve"> шт.</w:t>
      </w:r>
    </w:p>
    <w:tbl>
      <w:tblPr>
        <w:tblStyle w:val="a5"/>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82"/>
        <w:gridCol w:w="7762"/>
      </w:tblGrid>
      <w:tr>
        <w:trPr/>
        <w:tc>
          <w:tcPr>
            <w:tcW w:w="158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підтримка (не гірше)</w:t>
            </w:r>
          </w:p>
        </w:tc>
        <w:tc>
          <w:tcPr>
            <w:tcW w:w="7762" w:type="dxa"/>
            <w:tcBorders/>
          </w:tcPr>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Сервісна підписки повинна мати строк дії не менше ніж на 12 місяців;</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Виробник забезпечує авансову гарантійну заміну обладнання в режимі 8х5х</w:t>
            </w:r>
            <w:r>
              <w:rPr>
                <w:rFonts w:eastAsia="Calibri" w:cs="Times New Roman" w:ascii="Times New Roman" w:hAnsi="Times New Roman"/>
                <w:kern w:val="0"/>
                <w:sz w:val="24"/>
                <w:szCs w:val="24"/>
                <w:lang w:val="en-US" w:eastAsia="en-US" w:bidi="ar-SA"/>
              </w:rPr>
              <w:t>NBD</w:t>
            </w:r>
            <w:r>
              <w:rPr>
                <w:rFonts w:eastAsia="Calibri" w:cs="Times New Roman" w:ascii="Times New Roman" w:hAnsi="Times New Roman"/>
                <w:kern w:val="0"/>
                <w:sz w:val="24"/>
                <w:szCs w:val="24"/>
                <w:lang w:eastAsia="en-US" w:bidi="ar-SA"/>
              </w:rPr>
              <w:t xml:space="preserve"> (5 днів, 8 години, наступний робочий день), у випадку підтвердження необхідності заміни спеціалістом сервісної підтримки виробника;</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pPr>
              <w:pStyle w:val="Normal"/>
              <w:widowControl/>
              <w:numPr>
                <w:ilvl w:val="0"/>
                <w:numId w:val="11"/>
              </w:numPr>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Постійний (24х7) авторизований доступ до сайту виробника.</w:t>
            </w:r>
          </w:p>
        </w:tc>
      </w:tr>
    </w:tbl>
    <w:p>
      <w:pPr>
        <w:pStyle w:val="Normal"/>
        <w:pBdr/>
        <w:spacing w:lineRule="auto" w:line="240" w:before="24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Надання Послуг, що пов’язані із попередньо запланованими перервами в функціонуванні гіперконвергентного обчислювального кластеру ІКС 112 або окремих його складових, здійснюється в письмово погоджений Сторонами час.  </w:t>
      </w:r>
    </w:p>
    <w:p>
      <w:pPr>
        <w:pStyle w:val="Normal"/>
        <w:pBdr/>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Перевищення терміну відновлення працездатності гіперконвергентного обчислювального кластеру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ІКС 112, поломками обладнання, що входить до складу ІКС 112, інтеграцією з інформаційними системами та ПЗ, що не входять до складу ІКС 112, діями третіх осіб тощо.</w:t>
      </w:r>
    </w:p>
    <w:p>
      <w:pPr>
        <w:pStyle w:val="Normal"/>
        <w:pBdr/>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гіперконвергентного обчислювального кластеру ІКС 112 незалежно від причин виникнення інциденту. </w:t>
      </w:r>
    </w:p>
    <w:p>
      <w:pPr>
        <w:pStyle w:val="ListParagraph"/>
        <w:spacing w:lineRule="auto" w:line="240" w:before="60" w:after="0"/>
        <w:ind w:left="5" w:firstLine="562"/>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Надати у складі тендерної пропозиції копії Сертифікатів, Партнерських угод або Авторизаційних листів з виробниками ПЗ, що підтверджують наявні/діючі спеціалізації та партнерські відносини.</w:t>
      </w:r>
    </w:p>
    <w:p>
      <w:pPr>
        <w:pStyle w:val="Normal"/>
        <w:shd w:val="clear" w:color="auto" w:fill="FFFFFF"/>
        <w:suppressAutoHyphens w:val="true"/>
        <w:spacing w:before="0" w:after="160"/>
        <w:contextualSpacing/>
        <w:jc w:val="both"/>
        <w:rPr>
          <w:sz w:val="24"/>
          <w:szCs w:val="24"/>
        </w:rPr>
      </w:pPr>
      <w:r>
        <w:rPr>
          <w:sz w:val="24"/>
          <w:szCs w:val="24"/>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4 039 127,10 грн. (чотири мільйони тридцять дев’ять тисяч сто двадцять сім гривень 10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dstrike w:val="false"/>
        <w:strike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dstrike w:val="false"/>
        <w:strike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dstrike w:val="false"/>
        <w:strike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dstrike w:val="false"/>
        <w:strike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decimal"/>
      <w:lvlText w:val="%1."/>
      <w:lvlJc w:val="left"/>
      <w:pPr>
        <w:tabs>
          <w:tab w:val="num" w:pos="720"/>
        </w:tabs>
        <w:ind w:left="720" w:hanging="493"/>
      </w:pPr>
      <w:rPr/>
    </w:lvl>
    <w:lvl w:ilvl="1">
      <w:start w:val="1"/>
      <w:numFmt w:val="lowerLetter"/>
      <w:lvlText w:val="%2."/>
      <w:lvlJc w:val="left"/>
      <w:pPr>
        <w:tabs>
          <w:tab w:val="num" w:pos="1440"/>
        </w:tabs>
        <w:ind w:left="1440" w:hanging="360"/>
      </w:pPr>
      <w:rPr>
        <w:dstrike w:val="false"/>
        <w:strike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Application>Collabora_Office/22.05.20.1$Linux_X86_64 LibreOffice_project/bd9263bb6d0222e89e44fbff51d0d094dad8e281</Application>
  <AppVersion>15.0000</AppVersion>
  <Pages>12</Pages>
  <Words>3486</Words>
  <Characters>24990</Characters>
  <CharactersWithSpaces>27994</CharactersWithSpaces>
  <Paragraphs>361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2024-09-18T14:27:00Z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file>