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lang w:eastAsia="ru-RU"/>
        </w:rPr>
        <w:t xml:space="preserve">Послуги з </w:t>
      </w:r>
      <w:r>
        <w:rPr>
          <w:rFonts w:eastAsia="Calibri"/>
          <w:b w:val="0"/>
          <w:sz w:val="24"/>
          <w:szCs w:val="24"/>
        </w:rPr>
        <w:t xml:space="preserve">виконання науково-дослідної роботи: «Розроблення </w:t>
      </w:r>
      <w:r>
        <w:rPr>
          <w:rFonts w:eastAsia="Calibri"/>
          <w:b w:val="0"/>
          <w:sz w:val="24"/>
          <w:szCs w:val="24"/>
        </w:rPr>
        <w:t xml:space="preserve">проєкту</w:t>
      </w:r>
      <w:r>
        <w:rPr>
          <w:rFonts w:eastAsia="Calibri"/>
          <w:b w:val="0"/>
          <w:sz w:val="24"/>
          <w:szCs w:val="24"/>
        </w:rPr>
        <w:t xml:space="preserve"> порядку передачі викликів в електронній комунікаційній мережі загального користування під час здійснення екстрених комунікацій» </w:t>
      </w:r>
      <w:r>
        <w:rPr>
          <w:b w:val="0"/>
          <w:sz w:val="24"/>
          <w:szCs w:val="24"/>
        </w:rPr>
        <w:t xml:space="preserve">за кодом  ДК 021:2015: 73220000-0 Консультаційні послуги у сфері розробок.</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006001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eastAsia="Times New Roman" w:cs="Times New Roman"/>
          <w:bCs/>
          <w:sz w:val="24"/>
          <w:szCs w:val="24"/>
          <w:lang w:eastAsia="ru-RU"/>
        </w:rPr>
        <w:t xml:space="preserve">Послуги з </w:t>
      </w:r>
      <w:r>
        <w:rPr>
          <w:rFonts w:ascii="Times New Roman" w:hAnsi="Times New Roman" w:eastAsia="Calibri" w:cs="Times New Roman"/>
          <w:bCs/>
          <w:sz w:val="24"/>
          <w:szCs w:val="24"/>
        </w:rPr>
        <w:t xml:space="preserve">виконання науково-дослідної роботи: «Розроблення </w:t>
      </w:r>
      <w:r>
        <w:rPr>
          <w:rFonts w:ascii="Times New Roman" w:hAnsi="Times New Roman" w:eastAsia="Calibri" w:cs="Times New Roman"/>
          <w:bCs/>
          <w:sz w:val="24"/>
          <w:szCs w:val="24"/>
        </w:rPr>
        <w:t xml:space="preserve">проєкту</w:t>
      </w:r>
      <w:r>
        <w:rPr>
          <w:rFonts w:ascii="Times New Roman" w:hAnsi="Times New Roman" w:eastAsia="Calibri" w:cs="Times New Roman"/>
          <w:bCs/>
          <w:sz w:val="24"/>
          <w:szCs w:val="24"/>
        </w:rPr>
        <w:t xml:space="preserve"> порядку передачі викликів в електронній комунікаційній мережі загального користування під час здійснення екстрених комунікацій» </w:t>
      </w:r>
      <w:r>
        <w:rPr>
          <w:rFonts w:ascii="Times New Roman" w:hAnsi="Times New Roman" w:cs="Times New Roman"/>
          <w:bCs/>
          <w:sz w:val="24"/>
          <w:szCs w:val="24"/>
        </w:rPr>
        <w:t xml:space="preserve">за кодом  ДК 021:2015: 73220000-0 Консультаційні послуги у сфері розробок.</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jc w:val="center"/>
        <w:spacing w:after="120" w:line="240" w:lineRule="auto"/>
        <w:rPr>
          <w:rFonts w:ascii="Times New Roman" w:hAnsi="Times New Roman" w:eastAsia="Calibri" w:cs="Times New Roman"/>
          <w:b/>
          <w:bCs/>
          <w:sz w:val="24"/>
          <w:szCs w:val="24"/>
          <w:highlight w:val="yellow"/>
        </w:rPr>
      </w:pPr>
      <w:r>
        <w:rPr>
          <w:rFonts w:ascii="Times New Roman" w:hAnsi="Times New Roman" w:eastAsia="Calibri" w:cs="Times New Roman"/>
          <w:b/>
          <w:bCs/>
          <w:sz w:val="24"/>
          <w:szCs w:val="24"/>
        </w:rPr>
        <w:t xml:space="preserve">1. Підстава для виконання науково-дослідної роботи </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val="ru-RU"/>
        </w:rPr>
        <w:t xml:space="preserve">1</w:t>
      </w:r>
      <w:r>
        <w:rPr>
          <w:rFonts w:ascii="Times New Roman" w:hAnsi="Times New Roman" w:eastAsia="Calibri" w:cs="Times New Roman"/>
          <w:bCs/>
          <w:sz w:val="24"/>
          <w:szCs w:val="24"/>
        </w:rPr>
        <w:t xml:space="preserve">.1. Підставою для виконання науково-дослідної роботи (далі – НДР) є:</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Закон України «Про систему екстреної допомоги населенню за єдиним телефонним номером 112»;</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План реалізації галузевої програми інформатизації системи Міністерства внутрішн</w:t>
      </w:r>
      <w:r>
        <w:rPr>
          <w:rFonts w:ascii="Times New Roman" w:hAnsi="Times New Roman" w:eastAsia="Calibri" w:cs="Times New Roman"/>
          <w:bCs/>
          <w:sz w:val="24"/>
          <w:szCs w:val="24"/>
          <w:lang w:eastAsia="ar-SA"/>
        </w:rPr>
        <w:t xml:space="preserve">іх справ України та центральних органів виконавчої влади, діяльність яких спрямовується і координується Кабінетом Міністрів України через Міністра внутрішніх справ України, на 2021-2023 роки (затвердженої наказом МВС України № 301 від 22 квітня 2021 року);</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План заходів із створення системи екстреної допомоги населенню за єдиним телефонним номером 112, затверджений розпорядженням Кабінету Міністрів України від 15 листопада 2022 року № 1024</w:t>
      </w:r>
      <w:r>
        <w:rPr>
          <w:rFonts w:ascii="Times New Roman" w:hAnsi="Times New Roman" w:eastAsia="Calibri" w:cs="Times New Roman"/>
          <w:bCs/>
          <w:sz w:val="20"/>
          <w:szCs w:val="24"/>
          <w:lang w:eastAsia="ar-SA"/>
        </w:rPr>
        <w:noBreakHyphen/>
      </w:r>
      <w:r>
        <w:rPr>
          <w:rFonts w:ascii="Times New Roman" w:hAnsi="Times New Roman" w:eastAsia="Calibri" w:cs="Times New Roman"/>
          <w:bCs/>
          <w:sz w:val="24"/>
          <w:szCs w:val="24"/>
          <w:lang w:eastAsia="ar-SA"/>
        </w:rPr>
        <w:t xml:space="preserve">р;</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Протокол засідання Міжвідомчої робочої групи</w:t>
      </w:r>
      <w:r>
        <w:t xml:space="preserve"> </w:t>
      </w:r>
      <w:r>
        <w:rPr>
          <w:rFonts w:ascii="Times New Roman" w:hAnsi="Times New Roman" w:eastAsia="Calibri" w:cs="Times New Roman"/>
          <w:bCs/>
          <w:sz w:val="24"/>
          <w:szCs w:val="24"/>
          <w:lang w:eastAsia="ar-SA"/>
        </w:rPr>
        <w:t xml:space="preserve">з питань створення, впровадження, забезпечення функціонування та розвитку системи екстреної допомоги населенню за єдиним телефонним номером 112 від 09 червня 2023 року;</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Протокол засідання Міжвідомчої робочої групи з питань створення, впровадження, забезпечення функціонування та розвитку системи екстреної допомоги населенню за єдиним телефонним номером 112 від 07 липня 2023 року.</w:t>
      </w:r>
      <w:r/>
    </w:p>
    <w:p>
      <w:pPr>
        <w:jc w:val="both"/>
        <w:spacing w:before="20" w:after="20" w:line="252"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rPr>
        <w:t xml:space="preserve">1.2. Планові терміни виконання робіт: </w:t>
      </w:r>
      <w:r>
        <w:rPr>
          <w:rFonts w:ascii="Times New Roman" w:hAnsi="Times New Roman" w:eastAsia="Calibri" w:cs="Times New Roman"/>
          <w:bCs/>
          <w:sz w:val="24"/>
          <w:szCs w:val="24"/>
          <w:lang w:eastAsia="ar-SA"/>
        </w:rPr>
        <w:t xml:space="preserve">протягом двох місяців з дати підписання Договору</w:t>
      </w:r>
      <w:r/>
    </w:p>
    <w:p>
      <w:pPr>
        <w:ind w:firstLine="709"/>
        <w:jc w:val="both"/>
        <w:spacing w:before="20" w:after="2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r>
      <w:r/>
    </w:p>
    <w:p>
      <w:pPr>
        <w:jc w:val="center"/>
        <w:spacing w:after="120" w:line="240" w:lineRule="auto"/>
        <w:rPr>
          <w:rFonts w:ascii="Times New Roman" w:hAnsi="Times New Roman" w:eastAsia="Calibri" w:cs="Times New Roman"/>
          <w:b/>
          <w:bCs/>
          <w:sz w:val="24"/>
          <w:szCs w:val="24"/>
        </w:rPr>
        <w:outlineLvl w:val="6"/>
      </w:pPr>
      <w:r>
        <w:rPr>
          <w:rFonts w:ascii="Times New Roman" w:hAnsi="Times New Roman" w:eastAsia="Calibri" w:cs="Times New Roman"/>
          <w:b/>
          <w:bCs/>
          <w:sz w:val="24"/>
          <w:szCs w:val="24"/>
        </w:rPr>
        <w:t xml:space="preserve">2. Мета і призначення НДР </w:t>
      </w:r>
      <w:r/>
    </w:p>
    <w:p>
      <w:pPr>
        <w:jc w:val="both"/>
        <w:spacing w:before="40" w:after="40" w:line="240" w:lineRule="auto"/>
        <w:widowControl w:val="off"/>
        <w:tabs>
          <w:tab w:val="left" w:pos="915" w:leader="none"/>
        </w:tabs>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2.1. Метою роботи є розроблення </w:t>
      </w:r>
      <w:r>
        <w:rPr>
          <w:rFonts w:ascii="Times New Roman" w:hAnsi="Times New Roman" w:eastAsia="Calibri" w:cs="Times New Roman"/>
          <w:bCs/>
          <w:sz w:val="24"/>
          <w:szCs w:val="24"/>
        </w:rPr>
        <w:t xml:space="preserve">проєкту</w:t>
      </w:r>
      <w:r>
        <w:rPr>
          <w:rFonts w:ascii="Times New Roman" w:hAnsi="Times New Roman" w:eastAsia="Calibri" w:cs="Times New Roman"/>
          <w:bCs/>
          <w:sz w:val="24"/>
          <w:szCs w:val="24"/>
        </w:rPr>
        <w:t xml:space="preserve"> </w:t>
      </w:r>
      <w:r>
        <w:rPr>
          <w:rFonts w:ascii="Times New Roman" w:hAnsi="Times New Roman" w:eastAsia="Calibri" w:cs="Times New Roman"/>
          <w:sz w:val="24"/>
          <w:szCs w:val="24"/>
        </w:rPr>
        <w:t xml:space="preserve">Порядку передачі викликів </w:t>
      </w:r>
      <w:r>
        <w:rPr>
          <w:rFonts w:ascii="Times New Roman" w:hAnsi="Times New Roman" w:eastAsia="Times New Roman" w:cs="Times New Roman"/>
          <w:bCs/>
          <w:iCs/>
          <w:sz w:val="24"/>
          <w:szCs w:val="24"/>
          <w:lang w:eastAsia="ru-RU"/>
        </w:rPr>
        <w:t xml:space="preserve">в </w:t>
      </w:r>
      <w:r>
        <w:rPr>
          <w:rFonts w:ascii="Times New Roman" w:hAnsi="Times New Roman" w:eastAsia="Times New Roman" w:cs="Times New Roman"/>
          <w:sz w:val="24"/>
          <w:szCs w:val="24"/>
          <w:lang w:eastAsia="ru-RU"/>
        </w:rPr>
        <w:t xml:space="preserve">електронній комунікаційній</w:t>
      </w:r>
      <w:r>
        <w:rPr>
          <w:rFonts w:ascii="Times New Roman" w:hAnsi="Times New Roman" w:eastAsia="Calibri" w:cs="Times New Roman"/>
          <w:bCs/>
          <w:sz w:val="24"/>
          <w:szCs w:val="24"/>
          <w:shd w:val="clear" w:color="auto" w:fill="ffffff"/>
          <w:lang w:eastAsia="zh-CN"/>
        </w:rPr>
        <w:t xml:space="preserve"> мережі загального користування </w:t>
      </w:r>
      <w:r>
        <w:rPr>
          <w:rFonts w:ascii="Times New Roman" w:hAnsi="Times New Roman" w:eastAsia="Calibri" w:cs="Times New Roman"/>
          <w:sz w:val="24"/>
          <w:szCs w:val="24"/>
        </w:rPr>
        <w:t xml:space="preserve">під час здійснення екстрених комунікацій </w:t>
      </w:r>
      <w:r>
        <w:rPr>
          <w:rFonts w:ascii="Times New Roman" w:hAnsi="Times New Roman" w:eastAsia="Calibri" w:cs="Times New Roman"/>
          <w:bCs/>
          <w:sz w:val="24"/>
          <w:szCs w:val="24"/>
        </w:rPr>
        <w:t xml:space="preserve">для нормативного врегулювання питань щодо передавання голосових екстрених викликів до комунікаційних центрів «Служба 112» </w:t>
      </w:r>
      <w:r>
        <w:rPr>
          <w:rFonts w:ascii="Times New Roman" w:hAnsi="Times New Roman" w:eastAsia="Calibri" w:cs="Times New Roman"/>
          <w:sz w:val="24"/>
          <w:szCs w:val="24"/>
        </w:rPr>
        <w:t xml:space="preserve">в електронній комунікаційній мережі загального </w:t>
      </w:r>
      <w:r>
        <w:rPr>
          <w:rFonts w:ascii="Times New Roman" w:hAnsi="Times New Roman" w:eastAsia="Calibri" w:cs="Times New Roman"/>
          <w:sz w:val="24"/>
          <w:szCs w:val="24"/>
        </w:rPr>
        <w:t xml:space="preserve">користування</w:t>
      </w:r>
      <w:r>
        <w:rPr>
          <w:rFonts w:ascii="Times New Roman" w:hAnsi="Times New Roman" w:eastAsia="Calibri" w:cs="Times New Roman"/>
          <w:bCs/>
          <w:sz w:val="24"/>
          <w:szCs w:val="24"/>
          <w:shd w:val="clear" w:color="auto" w:fill="ffffff"/>
        </w:rPr>
        <w:t xml:space="preserve">.</w:t>
      </w:r>
      <w:r/>
    </w:p>
    <w:p>
      <w:pPr>
        <w:jc w:val="both"/>
        <w:spacing w:after="0" w:line="240" w:lineRule="auto"/>
        <w:widowControl w:val="off"/>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2.2. Призначення НДР – визначення </w:t>
      </w:r>
      <w:r>
        <w:rPr>
          <w:rFonts w:ascii="Times New Roman" w:hAnsi="Times New Roman" w:eastAsia="Calibri" w:cs="Times New Roman"/>
          <w:sz w:val="24"/>
          <w:szCs w:val="24"/>
        </w:rPr>
        <w:t xml:space="preserve">порядку та схем передавання екстрених викликів за єдиним телефонним номером 112 в електронній комунікаційній мережі загального користування</w:t>
      </w:r>
      <w:r>
        <w:rPr>
          <w:rFonts w:ascii="Times New Roman" w:hAnsi="Times New Roman" w:eastAsia="Calibri" w:cs="Times New Roman"/>
          <w:bCs/>
          <w:sz w:val="24"/>
          <w:szCs w:val="24"/>
        </w:rPr>
        <w:t xml:space="preserve"> України, інформації, яка передається під час екстреного виклику, що необхідно для підвищення ефективності оперативного реагування відповідних служб на екстрені виклики громадян.</w:t>
      </w:r>
      <w:r/>
    </w:p>
    <w:p>
      <w:pPr>
        <w:jc w:val="both"/>
        <w:spacing w:after="0" w:line="240" w:lineRule="auto"/>
        <w:widowControl w:val="off"/>
        <w:rPr>
          <w:rFonts w:ascii="Times New Roman" w:hAnsi="Times New Roman" w:eastAsia="Calibri" w:cs="Times New Roman"/>
          <w:bCs/>
          <w:sz w:val="24"/>
          <w:szCs w:val="24"/>
        </w:rPr>
      </w:pPr>
      <w:r>
        <w:rPr>
          <w:rFonts w:ascii="Times New Roman" w:hAnsi="Times New Roman" w:eastAsia="Calibri" w:cs="Times New Roman"/>
          <w:bCs/>
          <w:sz w:val="24"/>
          <w:szCs w:val="24"/>
        </w:rPr>
      </w:r>
      <w:r/>
    </w:p>
    <w:p>
      <w:pPr>
        <w:jc w:val="center"/>
        <w:keepNext/>
        <w:spacing w:after="120" w:line="240" w:lineRule="auto"/>
        <w:rPr>
          <w:rFonts w:ascii="Times New Roman" w:hAnsi="Times New Roman" w:eastAsia="Calibri" w:cs="Times New Roman"/>
          <w:b/>
          <w:bCs/>
          <w:sz w:val="24"/>
          <w:szCs w:val="24"/>
        </w:rPr>
        <w:outlineLvl w:val="6"/>
      </w:pPr>
      <w:r>
        <w:rPr>
          <w:rFonts w:ascii="Times New Roman" w:hAnsi="Times New Roman" w:eastAsia="Calibri" w:cs="Times New Roman"/>
          <w:b/>
          <w:bCs/>
          <w:sz w:val="24"/>
          <w:szCs w:val="24"/>
        </w:rPr>
        <w:t xml:space="preserve">3. Вихідні дані для проведення НДР </w:t>
      </w:r>
      <w:r/>
    </w:p>
    <w:p>
      <w:pPr>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3.1. Вихідними даними для проведення НДР є:</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Закон України «Про систему екстреної допомоги населенню за єдиним телефонним номером 112»;</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Закон України «Про електронні комунікації»;</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нормативно-правові акти та нормативні документи України в сфері електронних комунікацій;</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рекомендації Міжнародного союзу електрозв’язку, документи </w:t>
      </w:r>
      <w:r>
        <w:rPr>
          <w:rFonts w:ascii="Times New Roman" w:hAnsi="Times New Roman" w:eastAsia="Calibri" w:cs="Times New Roman"/>
          <w:bCs/>
          <w:sz w:val="24"/>
          <w:szCs w:val="24"/>
          <w:lang w:val="en-US" w:eastAsia="ar-SA"/>
        </w:rPr>
        <w:t xml:space="preserve">European Telecommunications Standards Institute (ETSI), 3rd Generation Partnership </w:t>
      </w:r>
      <w:r>
        <w:rPr>
          <w:rFonts w:ascii="Times New Roman" w:hAnsi="Times New Roman" w:eastAsia="Calibri" w:cs="Times New Roman"/>
          <w:bCs/>
          <w:sz w:val="24"/>
          <w:szCs w:val="24"/>
          <w:lang w:eastAsia="ar-SA"/>
        </w:rPr>
        <w:t xml:space="preserve">Project (3GPP);</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Директиви Європейського Парламенту і Ради (ЄС) 2018/1972 від 11 грудня 2018 року про запровадження Європейського кодексу електронних комунікацій;</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val="ru-RU" w:eastAsia="ar-SA"/>
        </w:rPr>
        <w:t xml:space="preserve">- </w:t>
      </w:r>
      <w:r>
        <w:rPr>
          <w:rFonts w:ascii="Times New Roman" w:hAnsi="Times New Roman" w:eastAsia="Calibri" w:cs="Times New Roman"/>
          <w:bCs/>
          <w:sz w:val="24"/>
          <w:szCs w:val="24"/>
          <w:lang w:eastAsia="ar-SA"/>
        </w:rPr>
        <w:t xml:space="preserve">Концептуальні засади створення і впровадження системи екстреної допомоги населенню за єдиним телефонним номером 112, затверджені Міністерством внутрішніх справ України, 2020;</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Протокол засідання Міжвідомчої робочої групи з питань створення, впровадження, забезпечення функціонування та розвитку системи екстреної допомоги населенню за єдиним телефонним номером 112 від 09 червня 2023 року;</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 Протокол засідання Міжвідомчої робочої групи з питань створення, впровадження, забезпечення функціонування та розвитку системи екстреної допомоги населенню за єдиним телефонним номером 112 від 07 липня 2023 року.</w:t>
      </w:r>
      <w:r/>
    </w:p>
    <w:p>
      <w:pPr>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p>
    <w:p>
      <w:pPr>
        <w:jc w:val="center"/>
        <w:spacing w:after="12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4. Вимоги до виконання НДР</w:t>
      </w:r>
      <w:r/>
    </w:p>
    <w:p>
      <w:pPr>
        <w:jc w:val="both"/>
        <w:spacing w:after="0" w:line="240" w:lineRule="auto"/>
        <w:tabs>
          <w:tab w:val="left" w:pos="993" w:leader="none"/>
        </w:tabs>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4.1. Теоретичні дослідження повинні базуватися на: Законах, нормативно-правових актах та нормативних документах України в сфері електронних комунікацій, рекомендаціях Міжнародного союзу електрозв’язку, документах </w:t>
      </w:r>
      <w:r>
        <w:rPr>
          <w:rFonts w:ascii="Times New Roman" w:hAnsi="Times New Roman" w:eastAsia="Calibri" w:cs="Times New Roman"/>
          <w:bCs/>
          <w:sz w:val="24"/>
          <w:szCs w:val="24"/>
        </w:rPr>
        <w:t xml:space="preserve">European</w:t>
      </w:r>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rPr>
        <w:t xml:space="preserve">Telecommunications</w:t>
      </w:r>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rPr>
        <w:t xml:space="preserve">Standards</w:t>
      </w:r>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rPr>
        <w:t xml:space="preserve">Institute</w:t>
      </w:r>
      <w:r>
        <w:rPr>
          <w:rFonts w:ascii="Times New Roman" w:hAnsi="Times New Roman" w:eastAsia="Calibri" w:cs="Times New Roman"/>
          <w:bCs/>
          <w:sz w:val="24"/>
          <w:szCs w:val="24"/>
        </w:rPr>
        <w:t xml:space="preserve"> (ETSI), 3rd </w:t>
      </w:r>
      <w:r>
        <w:rPr>
          <w:rFonts w:ascii="Times New Roman" w:hAnsi="Times New Roman" w:eastAsia="Calibri" w:cs="Times New Roman"/>
          <w:bCs/>
          <w:sz w:val="24"/>
          <w:szCs w:val="24"/>
        </w:rPr>
        <w:t xml:space="preserve">Generation</w:t>
      </w:r>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rPr>
        <w:t xml:space="preserve">Partnership</w:t>
      </w:r>
      <w:r>
        <w:rPr>
          <w:rFonts w:ascii="Times New Roman" w:hAnsi="Times New Roman" w:eastAsia="Calibri" w:cs="Times New Roman"/>
          <w:bCs/>
          <w:sz w:val="24"/>
          <w:szCs w:val="24"/>
        </w:rPr>
        <w:t xml:space="preserve"> Project (3GPP),</w:t>
      </w:r>
      <w:r/>
    </w:p>
    <w:p>
      <w:pPr>
        <w:jc w:val="both"/>
        <w:spacing w:after="0" w:line="240" w:lineRule="auto"/>
        <w:tabs>
          <w:tab w:val="left" w:pos="993" w:leader="none"/>
        </w:tabs>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аналізі сучасного стану та перспектив розвитку електронних комунікаційних мереж загального користування України.</w:t>
      </w:r>
      <w:r/>
    </w:p>
    <w:p>
      <w:pPr>
        <w:jc w:val="both"/>
        <w:spacing w:after="0" w:line="240" w:lineRule="auto"/>
        <w:tabs>
          <w:tab w:val="left" w:pos="993" w:leader="none"/>
        </w:tabs>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4.2. Під час виконання НДР повинні бути визначені загальні вимоги до передачі екстрених голосових викликів за</w:t>
      </w:r>
      <w:r>
        <w:rPr>
          <w:rFonts w:ascii="Times New Roman" w:hAnsi="Times New Roman" w:eastAsia="Calibri" w:cs="Times New Roman"/>
          <w:sz w:val="24"/>
          <w:szCs w:val="24"/>
        </w:rPr>
        <w:t xml:space="preserve"> єдиним телефонним номером 112 та до інформації, яка передається під час екстреного виклику, розроблені схеми передавання екстрених викликів за єдиним телефонним номером 112 до Інформаційно-комунікаційної системи 112, а саме до основних та резервних </w:t>
      </w:r>
      <w:r>
        <w:rPr>
          <w:rFonts w:ascii="Times New Roman" w:hAnsi="Times New Roman" w:eastAsia="Calibri" w:cs="Times New Roman"/>
          <w:bCs/>
          <w:sz w:val="24"/>
          <w:szCs w:val="24"/>
        </w:rPr>
        <w:t xml:space="preserve">центрів обробки викликів системи екстреної допомоги населенню за єдиним телефонним номером 112 - комунікаційних центрів «Служба 112»</w:t>
      </w:r>
      <w:r>
        <w:rPr>
          <w:bCs/>
          <w:sz w:val="27"/>
          <w:szCs w:val="27"/>
        </w:rPr>
        <w:t xml:space="preserve"> </w:t>
      </w:r>
      <w:r>
        <w:rPr>
          <w:rFonts w:ascii="Times New Roman" w:hAnsi="Times New Roman" w:eastAsia="Calibri" w:cs="Times New Roman"/>
          <w:bCs/>
          <w:sz w:val="24"/>
          <w:szCs w:val="24"/>
        </w:rPr>
        <w:t xml:space="preserve">у таких містах: Київ, Львів, Дніпро та Одеса</w:t>
      </w:r>
      <w:r>
        <w:rPr>
          <w:rFonts w:ascii="Times New Roman" w:hAnsi="Times New Roman" w:eastAsia="Calibri" w:cs="Times New Roman"/>
          <w:sz w:val="24"/>
          <w:szCs w:val="24"/>
        </w:rPr>
        <w:t xml:space="preserve">. Ф</w:t>
      </w:r>
      <w:r>
        <w:rPr>
          <w:rFonts w:ascii="Times New Roman" w:hAnsi="Times New Roman" w:eastAsia="Calibri" w:cs="Times New Roman"/>
          <w:bCs/>
          <w:sz w:val="24"/>
          <w:szCs w:val="24"/>
        </w:rPr>
        <w:t xml:space="preserve">ункціонування зазначених комунікаційних центрів «Служба 112» повинно охоплювати відповідно територію обслуговування 4 </w:t>
      </w:r>
      <w:r>
        <w:rPr>
          <w:rFonts w:ascii="Times New Roman" w:hAnsi="Times New Roman" w:eastAsia="Calibri" w:cs="Times New Roman"/>
          <w:bCs/>
          <w:sz w:val="24"/>
          <w:szCs w:val="24"/>
        </w:rPr>
        <w:t xml:space="preserve">макрорегіонів</w:t>
      </w:r>
      <w:r>
        <w:rPr>
          <w:rFonts w:ascii="Times New Roman" w:hAnsi="Times New Roman" w:eastAsia="Calibri" w:cs="Times New Roman"/>
          <w:bCs/>
          <w:sz w:val="24"/>
          <w:szCs w:val="24"/>
        </w:rPr>
        <w:t xml:space="preserve">, а саме:</w:t>
      </w:r>
      <w:r/>
    </w:p>
    <w:p>
      <w:pPr>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 комунікаційний центр «Служба 112» у м. Києві (центральний </w:t>
      </w:r>
      <w:r>
        <w:rPr>
          <w:rFonts w:ascii="Times New Roman" w:hAnsi="Times New Roman" w:eastAsia="Calibri" w:cs="Times New Roman"/>
          <w:sz w:val="24"/>
          <w:szCs w:val="24"/>
        </w:rPr>
        <w:t xml:space="preserve">макрорегіон</w:t>
      </w:r>
      <w:r>
        <w:rPr>
          <w:rFonts w:ascii="Times New Roman" w:hAnsi="Times New Roman" w:eastAsia="Calibri" w:cs="Times New Roman"/>
          <w:sz w:val="24"/>
          <w:szCs w:val="24"/>
        </w:rPr>
        <w:t xml:space="preserve">) - з територією обслуговування у місті Києві, Київській, Вінницькій, Житомирській, Чернігівській та Черкаській областях;</w:t>
      </w:r>
      <w:r/>
    </w:p>
    <w:p>
      <w:pPr>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 комунікаційний центр «Служба 112» у м. Львові (західний </w:t>
      </w:r>
      <w:r>
        <w:rPr>
          <w:rFonts w:ascii="Times New Roman" w:hAnsi="Times New Roman" w:eastAsia="Calibri" w:cs="Times New Roman"/>
          <w:sz w:val="24"/>
          <w:szCs w:val="24"/>
        </w:rPr>
        <w:t xml:space="preserve">макрорегіон</w:t>
      </w:r>
      <w:r>
        <w:rPr>
          <w:rFonts w:ascii="Times New Roman" w:hAnsi="Times New Roman" w:eastAsia="Calibri" w:cs="Times New Roman"/>
          <w:sz w:val="24"/>
          <w:szCs w:val="24"/>
        </w:rPr>
        <w:t xml:space="preserve">) - з територією обслуговування у Львівській, Волинській, Рівненській, Івано-Франківській, Хмельницькій, Тернопільській, Закарпатській та Чернівецькій областях;</w:t>
      </w:r>
      <w:r/>
    </w:p>
    <w:p>
      <w:pPr>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 комунікаційний центр «Служба 112» у м. Дніпрі (східний </w:t>
      </w:r>
      <w:r>
        <w:rPr>
          <w:rFonts w:ascii="Times New Roman" w:hAnsi="Times New Roman" w:eastAsia="Calibri" w:cs="Times New Roman"/>
          <w:sz w:val="24"/>
          <w:szCs w:val="24"/>
        </w:rPr>
        <w:t xml:space="preserve">макрорегіон</w:t>
      </w:r>
      <w:r>
        <w:rPr>
          <w:rFonts w:ascii="Times New Roman" w:hAnsi="Times New Roman" w:eastAsia="Calibri" w:cs="Times New Roman"/>
          <w:sz w:val="24"/>
          <w:szCs w:val="24"/>
        </w:rPr>
        <w:t xml:space="preserve">) - з територією обслуговування у Дніпропетровській, Запорізькій, Харківській, Донецькій, Луганській, Полтавській та Сумській областях;</w:t>
      </w:r>
      <w:r/>
    </w:p>
    <w:p>
      <w:pPr>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 комунікаційний центр «Служба 112» у м. Одесі (південний </w:t>
      </w:r>
      <w:r>
        <w:rPr>
          <w:rFonts w:ascii="Times New Roman" w:hAnsi="Times New Roman" w:eastAsia="Calibri" w:cs="Times New Roman"/>
          <w:sz w:val="24"/>
          <w:szCs w:val="24"/>
        </w:rPr>
        <w:t xml:space="preserve">макрорегіон</w:t>
      </w:r>
      <w:r>
        <w:rPr>
          <w:rFonts w:ascii="Times New Roman" w:hAnsi="Times New Roman" w:eastAsia="Calibri" w:cs="Times New Roman"/>
          <w:sz w:val="24"/>
          <w:szCs w:val="24"/>
        </w:rPr>
        <w:t xml:space="preserve">) - з територією обслуговування у Одеській, Миколаївській, Херсонській, Кіровоградській областях та АР Крим.</w:t>
      </w:r>
      <w:r/>
    </w:p>
    <w:p>
      <w:pPr>
        <w:numPr>
          <w:ilvl w:val="0"/>
          <w:numId w:val="37"/>
        </w:numPr>
        <w:ind w:left="0" w:firstLine="0"/>
        <w:jc w:val="both"/>
        <w:spacing w:after="0" w:line="240" w:lineRule="auto"/>
        <w:rPr>
          <w:rFonts w:ascii="Times New Roman" w:hAnsi="Times New Roman" w:eastAsia="Calibri" w:cs="Times New Roman"/>
          <w:bCs/>
          <w:sz w:val="24"/>
          <w:szCs w:val="24"/>
          <w:lang w:eastAsia="ar-SA"/>
        </w:rPr>
      </w:pPr>
      <w:r>
        <w:rPr>
          <w:rFonts w:ascii="Times New Roman" w:hAnsi="Times New Roman" w:eastAsia="Calibri" w:cs="Times New Roman"/>
          <w:bCs/>
          <w:sz w:val="24"/>
          <w:szCs w:val="24"/>
          <w:lang w:eastAsia="ar-SA"/>
        </w:rPr>
        <w:t xml:space="preserve">4.3. Результатом НДР має бути розроблення </w:t>
      </w:r>
      <w:r>
        <w:rPr>
          <w:rFonts w:ascii="Times New Roman" w:hAnsi="Times New Roman" w:eastAsia="Calibri" w:cs="Times New Roman"/>
          <w:bCs/>
          <w:sz w:val="24"/>
          <w:szCs w:val="24"/>
          <w:lang w:eastAsia="ar-SA"/>
        </w:rPr>
        <w:t xml:space="preserve">проєкту</w:t>
      </w:r>
      <w:r>
        <w:rPr>
          <w:rFonts w:ascii="Times New Roman" w:hAnsi="Times New Roman" w:eastAsia="Calibri" w:cs="Times New Roman"/>
          <w:bCs/>
          <w:sz w:val="24"/>
          <w:szCs w:val="24"/>
          <w:lang w:eastAsia="ar-SA"/>
        </w:rPr>
        <w:t xml:space="preserve"> Порядку передачі викликів </w:t>
      </w:r>
      <w:r>
        <w:rPr>
          <w:rFonts w:ascii="Times New Roman" w:hAnsi="Times New Roman" w:eastAsia="Times New Roman" w:cs="Times New Roman"/>
          <w:bCs/>
          <w:iCs/>
          <w:sz w:val="24"/>
          <w:szCs w:val="24"/>
          <w:lang w:eastAsia="ru-RU"/>
        </w:rPr>
        <w:t xml:space="preserve">в </w:t>
      </w:r>
      <w:r>
        <w:rPr>
          <w:rFonts w:ascii="Times New Roman" w:hAnsi="Times New Roman" w:eastAsia="Times New Roman" w:cs="Times New Roman"/>
          <w:sz w:val="24"/>
          <w:szCs w:val="24"/>
          <w:lang w:eastAsia="ru-RU"/>
        </w:rPr>
        <w:t xml:space="preserve">електронній комунікаційній мережі загального користування</w:t>
      </w:r>
      <w:r>
        <w:rPr>
          <w:rFonts w:ascii="Times New Roman" w:hAnsi="Times New Roman" w:eastAsia="Calibri" w:cs="Times New Roman"/>
          <w:bCs/>
          <w:sz w:val="24"/>
          <w:szCs w:val="24"/>
          <w:lang w:eastAsia="ar-SA"/>
        </w:rPr>
        <w:t xml:space="preserve"> під час здійснення екстрених комунікацій.</w:t>
      </w:r>
      <w:r/>
    </w:p>
    <w:p>
      <w:pPr>
        <w:jc w:val="both"/>
        <w:spacing w:after="0" w:line="240" w:lineRule="auto"/>
        <w:tabs>
          <w:tab w:val="left" w:pos="993" w:leader="none"/>
        </w:tabs>
        <w:rPr>
          <w:rFonts w:ascii="Times New Roman" w:hAnsi="Times New Roman" w:eastAsia="Calibri" w:cs="Times New Roman"/>
          <w:bCs/>
          <w:sz w:val="24"/>
          <w:szCs w:val="24"/>
        </w:rPr>
      </w:pPr>
      <w:r>
        <w:rPr>
          <w:rFonts w:ascii="Times New Roman" w:hAnsi="Times New Roman" w:eastAsia="Calibri" w:cs="Times New Roman"/>
          <w:sz w:val="24"/>
          <w:szCs w:val="24"/>
        </w:rPr>
        <w:t xml:space="preserve">4.4. </w:t>
      </w:r>
      <w:r>
        <w:rPr>
          <w:rFonts w:ascii="Times New Roman" w:hAnsi="Times New Roman" w:eastAsia="Calibri" w:cs="Times New Roman"/>
          <w:sz w:val="24"/>
          <w:szCs w:val="24"/>
        </w:rPr>
        <w:t xml:space="preserve">Проєкт</w:t>
      </w:r>
      <w:r>
        <w:rPr>
          <w:rFonts w:ascii="Times New Roman" w:hAnsi="Times New Roman" w:eastAsia="Calibri" w:cs="Times New Roman"/>
          <w:sz w:val="24"/>
          <w:szCs w:val="24"/>
        </w:rPr>
        <w:t xml:space="preserve"> </w:t>
      </w:r>
      <w:r>
        <w:rPr>
          <w:rFonts w:ascii="Times New Roman" w:hAnsi="Times New Roman" w:eastAsia="Calibri" w:cs="Times New Roman"/>
          <w:bCs/>
          <w:sz w:val="24"/>
          <w:szCs w:val="24"/>
          <w:lang w:eastAsia="ar-SA"/>
        </w:rPr>
        <w:t xml:space="preserve">Порядку передачі викликів </w:t>
      </w:r>
      <w:r>
        <w:rPr>
          <w:rFonts w:ascii="Times New Roman" w:hAnsi="Times New Roman" w:eastAsia="Times New Roman" w:cs="Times New Roman"/>
          <w:bCs/>
          <w:iCs/>
          <w:sz w:val="24"/>
          <w:szCs w:val="24"/>
          <w:lang w:eastAsia="ru-RU"/>
        </w:rPr>
        <w:t xml:space="preserve">в </w:t>
      </w:r>
      <w:r>
        <w:rPr>
          <w:rFonts w:ascii="Times New Roman" w:hAnsi="Times New Roman" w:eastAsia="Times New Roman" w:cs="Times New Roman"/>
          <w:sz w:val="24"/>
          <w:szCs w:val="24"/>
          <w:lang w:eastAsia="ru-RU"/>
        </w:rPr>
        <w:t xml:space="preserve">електронній комунікаційній мережі загального користування</w:t>
      </w:r>
      <w:r>
        <w:rPr>
          <w:rFonts w:ascii="Times New Roman" w:hAnsi="Times New Roman" w:eastAsia="Calibri" w:cs="Times New Roman"/>
          <w:bCs/>
          <w:sz w:val="24"/>
          <w:szCs w:val="24"/>
          <w:lang w:eastAsia="ar-SA"/>
        </w:rPr>
        <w:t xml:space="preserve"> під час здійснення екстрених комунікацій</w:t>
      </w:r>
      <w:r>
        <w:rPr>
          <w:rFonts w:ascii="Times New Roman" w:hAnsi="Times New Roman" w:eastAsia="Calibri" w:cs="Times New Roman"/>
          <w:sz w:val="24"/>
          <w:szCs w:val="24"/>
        </w:rPr>
        <w:t xml:space="preserve"> повинен </w:t>
      </w:r>
      <w:r>
        <w:rPr>
          <w:rFonts w:ascii="Times New Roman" w:hAnsi="Times New Roman" w:eastAsia="Calibri" w:cs="Times New Roman"/>
          <w:bCs/>
          <w:sz w:val="24"/>
          <w:szCs w:val="24"/>
        </w:rPr>
        <w:t xml:space="preserve">містити такі основні розділи:</w:t>
      </w: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 Загальні положення.</w:t>
      </w: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2. Основні технічні вимоги</w:t>
      </w:r>
      <w:r>
        <w:rPr>
          <w:rFonts w:ascii="Times New Roman" w:hAnsi="Times New Roman" w:eastAsia="Calibri" w:cs="Times New Roman"/>
          <w:bCs/>
          <w:sz w:val="24"/>
          <w:szCs w:val="24"/>
        </w:rPr>
        <w:t xml:space="preserve">.</w:t>
      </w: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3. </w:t>
      </w:r>
      <w:r>
        <w:rPr>
          <w:rFonts w:ascii="Times New Roman" w:hAnsi="Times New Roman" w:eastAsia="Calibri" w:cs="Times New Roman"/>
          <w:bCs/>
          <w:sz w:val="24"/>
          <w:szCs w:val="24"/>
        </w:rPr>
        <w:t xml:space="preserve">Порядок організації передачі екстрених викликів за єдиним телефонним номером 112</w:t>
      </w:r>
      <w:r>
        <w:rPr>
          <w:rFonts w:ascii="Times New Roman" w:hAnsi="Times New Roman" w:eastAsia="Calibri" w:cs="Times New Roman"/>
          <w:sz w:val="24"/>
          <w:szCs w:val="24"/>
        </w:rPr>
        <w:t xml:space="preserve">.</w:t>
      </w: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bCs/>
          <w:sz w:val="24"/>
          <w:szCs w:val="24"/>
        </w:rPr>
        <w:t xml:space="preserve">4.5. За результатами проведених досліджень назва та склад </w:t>
      </w:r>
      <w:r>
        <w:rPr>
          <w:rFonts w:ascii="Times New Roman" w:hAnsi="Times New Roman" w:eastAsia="Calibri" w:cs="Times New Roman"/>
          <w:bCs/>
          <w:sz w:val="24"/>
          <w:szCs w:val="24"/>
        </w:rPr>
        <w:t xml:space="preserve">проєкту</w:t>
      </w:r>
      <w:r>
        <w:rPr>
          <w:rFonts w:ascii="Times New Roman" w:hAnsi="Times New Roman" w:eastAsia="Calibri" w:cs="Times New Roman"/>
          <w:bCs/>
          <w:sz w:val="24"/>
          <w:szCs w:val="24"/>
        </w:rPr>
        <w:t xml:space="preserve"> Порядку передачі викликів </w:t>
      </w:r>
      <w:r>
        <w:rPr>
          <w:rFonts w:ascii="Times New Roman" w:hAnsi="Times New Roman" w:eastAsia="Times New Roman" w:cs="Times New Roman"/>
          <w:bCs/>
          <w:iCs/>
          <w:sz w:val="24"/>
          <w:szCs w:val="24"/>
          <w:lang w:eastAsia="ru-RU"/>
        </w:rPr>
        <w:t xml:space="preserve">в </w:t>
      </w:r>
      <w:r>
        <w:rPr>
          <w:rFonts w:ascii="Times New Roman" w:hAnsi="Times New Roman" w:eastAsia="Times New Roman" w:cs="Times New Roman"/>
          <w:sz w:val="24"/>
          <w:szCs w:val="24"/>
          <w:lang w:eastAsia="ru-RU"/>
        </w:rPr>
        <w:t xml:space="preserve">електронній комунікаційній мережі загального користування</w:t>
      </w:r>
      <w:r>
        <w:rPr>
          <w:rFonts w:ascii="Times New Roman" w:hAnsi="Times New Roman" w:eastAsia="Calibri" w:cs="Times New Roman"/>
          <w:bCs/>
          <w:sz w:val="24"/>
          <w:szCs w:val="24"/>
        </w:rPr>
        <w:t xml:space="preserve"> під час здійснення екстрених комунікацій можуть бути змінені після погодження з Замовником.</w:t>
      </w:r>
      <w:r/>
    </w:p>
    <w:p>
      <w:pPr>
        <w:jc w:val="both"/>
        <w:spacing w:after="0" w:line="240" w:lineRule="auto"/>
        <w:rPr>
          <w:rFonts w:ascii="Times New Roman" w:hAnsi="Times New Roman" w:eastAsia="Calibri" w:cs="Times New Roman"/>
          <w:bCs/>
          <w:sz w:val="24"/>
          <w:szCs w:val="24"/>
          <w:highlight w:val="yellow"/>
        </w:rPr>
      </w:pPr>
      <w:r>
        <w:rPr>
          <w:rFonts w:ascii="Times New Roman" w:hAnsi="Times New Roman" w:eastAsia="Calibri" w:cs="Times New Roman"/>
          <w:bCs/>
          <w:sz w:val="24"/>
          <w:szCs w:val="24"/>
          <w:highlight w:val="yellow"/>
        </w:rPr>
      </w:r>
      <w:r/>
    </w:p>
    <w:p>
      <w:pPr>
        <w:numPr>
          <w:ilvl w:val="0"/>
          <w:numId w:val="37"/>
        </w:numPr>
        <w:ind w:left="0" w:firstLine="0"/>
        <w:jc w:val="center"/>
        <w:keepLines/>
        <w:keepNext/>
        <w:spacing w:after="120" w:line="240" w:lineRule="auto"/>
        <w:widowControl w:val="off"/>
        <w:tabs>
          <w:tab w:val="left" w:pos="993"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5.</w:t>
      </w:r>
      <w:r>
        <w:rPr>
          <w:rFonts w:ascii="Times New Roman" w:hAnsi="Times New Roman" w:eastAsia="Calibri" w:cs="Times New Roman"/>
          <w:bCs/>
          <w:sz w:val="24"/>
          <w:szCs w:val="24"/>
        </w:rPr>
        <w:t xml:space="preserve"> </w:t>
      </w:r>
      <w:r>
        <w:rPr>
          <w:rFonts w:ascii="Times New Roman" w:hAnsi="Times New Roman" w:eastAsia="Calibri" w:cs="Times New Roman"/>
          <w:b/>
          <w:sz w:val="24"/>
          <w:szCs w:val="24"/>
        </w:rPr>
        <w:t xml:space="preserve">Очікувані результати та порядок реалізації НДР</w:t>
      </w:r>
      <w:r/>
    </w:p>
    <w:p>
      <w:pPr>
        <w:jc w:val="both"/>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Затвердження розробленого </w:t>
      </w:r>
      <w:r>
        <w:rPr>
          <w:rFonts w:ascii="Times New Roman" w:hAnsi="Times New Roman" w:eastAsia="Calibri" w:cs="Times New Roman"/>
          <w:bCs/>
          <w:sz w:val="24"/>
          <w:szCs w:val="24"/>
        </w:rPr>
        <w:t xml:space="preserve">проєкту</w:t>
      </w:r>
      <w:r>
        <w:rPr>
          <w:rFonts w:ascii="Times New Roman" w:hAnsi="Times New Roman" w:eastAsia="Calibri" w:cs="Times New Roman"/>
          <w:bCs/>
          <w:sz w:val="24"/>
          <w:szCs w:val="24"/>
        </w:rPr>
        <w:t xml:space="preserve"> Порядку передачі викликів в електронній комунікаційній мережі загального користування під час здійснення екстрених комунікацій дозволить врегулювати механізм передачі голосових викликів під час здійснення е</w:t>
      </w:r>
      <w:r>
        <w:rPr>
          <w:rFonts w:ascii="Times New Roman" w:hAnsi="Times New Roman" w:eastAsia="Calibri" w:cs="Times New Roman"/>
          <w:bCs/>
          <w:sz w:val="24"/>
          <w:szCs w:val="24"/>
        </w:rPr>
        <w:t xml:space="preserve">кстрених комунікацій за скороченим телефонним номером 112, що відповідно підвищить рівень захищеності населення в екстрених ситуаціях і  посилить спроможність держави забезпечити порятунок життя та надання екстреної допомоги населенню в екстреній ситуації.</w:t>
      </w:r>
      <w:r/>
    </w:p>
    <w:p>
      <w:pPr>
        <w:ind w:firstLine="567"/>
        <w:jc w:val="both"/>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r>
      <w:r/>
    </w:p>
    <w:p>
      <w:pPr>
        <w:numPr>
          <w:ilvl w:val="0"/>
          <w:numId w:val="37"/>
        </w:numPr>
        <w:ind w:left="0" w:firstLine="0"/>
        <w:jc w:val="center"/>
        <w:keepLines/>
        <w:keepNext/>
        <w:spacing w:after="120" w:line="240" w:lineRule="auto"/>
        <w:widowControl w:val="off"/>
        <w:tabs>
          <w:tab w:val="left" w:pos="993" w:leader="none"/>
        </w:tabs>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6. Вимоги до документації </w:t>
      </w:r>
      <w:r/>
    </w:p>
    <w:p>
      <w:pPr>
        <w:jc w:val="both"/>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6.1. Виконавець надає Замовнику Звіт про НДР, складовою частиною якого є </w:t>
      </w:r>
      <w:r>
        <w:rPr>
          <w:rFonts w:ascii="Times New Roman" w:hAnsi="Times New Roman" w:eastAsia="Calibri" w:cs="Times New Roman"/>
          <w:bCs/>
          <w:sz w:val="24"/>
          <w:szCs w:val="24"/>
        </w:rPr>
        <w:t xml:space="preserve">проєкт</w:t>
      </w:r>
      <w:r>
        <w:rPr>
          <w:rFonts w:ascii="Times New Roman" w:hAnsi="Times New Roman" w:eastAsia="Calibri" w:cs="Times New Roman"/>
          <w:bCs/>
          <w:sz w:val="24"/>
          <w:szCs w:val="24"/>
        </w:rPr>
        <w:t xml:space="preserve"> Порядку передачі викликів </w:t>
      </w:r>
      <w:r>
        <w:rPr>
          <w:rFonts w:ascii="Times New Roman" w:hAnsi="Times New Roman" w:eastAsia="Times New Roman" w:cs="Times New Roman"/>
          <w:bCs/>
          <w:iCs/>
          <w:sz w:val="24"/>
          <w:szCs w:val="24"/>
          <w:lang w:eastAsia="ru-RU"/>
        </w:rPr>
        <w:t xml:space="preserve">в </w:t>
      </w:r>
      <w:r>
        <w:rPr>
          <w:rFonts w:ascii="Times New Roman" w:hAnsi="Times New Roman" w:eastAsia="Times New Roman" w:cs="Times New Roman"/>
          <w:sz w:val="24"/>
          <w:szCs w:val="24"/>
          <w:lang w:eastAsia="ru-RU"/>
        </w:rPr>
        <w:t xml:space="preserve">електронній комунікаційній</w:t>
      </w:r>
      <w:r>
        <w:rPr>
          <w:rFonts w:ascii="Times New Roman" w:hAnsi="Times New Roman" w:eastAsia="Calibri" w:cs="Times New Roman"/>
          <w:bCs/>
          <w:sz w:val="24"/>
          <w:szCs w:val="24"/>
          <w:shd w:val="clear" w:color="auto" w:fill="ffffff"/>
          <w:lang w:eastAsia="zh-CN"/>
        </w:rPr>
        <w:t xml:space="preserve"> мережі загального користування</w:t>
      </w:r>
      <w:r>
        <w:rPr>
          <w:rFonts w:ascii="Times New Roman" w:hAnsi="Times New Roman" w:eastAsia="Calibri" w:cs="Times New Roman"/>
          <w:bCs/>
          <w:sz w:val="24"/>
          <w:szCs w:val="24"/>
        </w:rPr>
        <w:t xml:space="preserve"> під час здійснення екстрених комунікацій, Акт наданих послуг.</w:t>
      </w:r>
      <w:r/>
    </w:p>
    <w:p>
      <w:pPr>
        <w:jc w:val="both"/>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6.2. Звіт про НДР має бути виконаний згідно з ДСТУ 3008:2015 «</w:t>
      </w:r>
      <w:r>
        <w:rPr>
          <w:rFonts w:ascii="Times New Roman" w:hAnsi="Times New Roman" w:eastAsia="Calibri" w:cs="Times New Roman"/>
          <w:bCs/>
          <w:sz w:val="24"/>
          <w:szCs w:val="24"/>
          <w:shd w:val="clear" w:color="auto" w:fill="ffffff"/>
        </w:rPr>
        <w:t xml:space="preserve">Інформація та </w:t>
      </w:r>
      <w:r>
        <w:rPr>
          <w:rFonts w:ascii="Times New Roman" w:hAnsi="Times New Roman" w:eastAsia="Calibri" w:cs="Times New Roman"/>
          <w:bCs/>
          <w:sz w:val="24"/>
          <w:szCs w:val="24"/>
        </w:rPr>
        <w:t xml:space="preserve">документація. Звіти у сфері науки і техніки. Структура та правила оформлювання».</w:t>
      </w:r>
      <w:r/>
    </w:p>
    <w:p>
      <w:pPr>
        <w:jc w:val="both"/>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6.3. </w:t>
      </w:r>
      <w:r>
        <w:rPr>
          <w:rFonts w:ascii="Times New Roman" w:hAnsi="Times New Roman" w:eastAsia="Calibri" w:cs="Times New Roman"/>
          <w:bCs/>
          <w:sz w:val="24"/>
          <w:szCs w:val="24"/>
        </w:rPr>
        <w:t xml:space="preserve">Проєкт</w:t>
      </w:r>
      <w:r>
        <w:rPr>
          <w:rFonts w:ascii="Times New Roman" w:hAnsi="Times New Roman" w:eastAsia="Calibri" w:cs="Times New Roman"/>
          <w:bCs/>
          <w:sz w:val="24"/>
          <w:szCs w:val="24"/>
        </w:rPr>
        <w:t xml:space="preserve"> Порядку передачі викликів </w:t>
      </w:r>
      <w:r>
        <w:rPr>
          <w:rFonts w:ascii="Times New Roman" w:hAnsi="Times New Roman" w:eastAsia="Times New Roman" w:cs="Times New Roman"/>
          <w:bCs/>
          <w:iCs/>
          <w:sz w:val="24"/>
          <w:szCs w:val="24"/>
          <w:lang w:eastAsia="ru-RU"/>
        </w:rPr>
        <w:t xml:space="preserve">в </w:t>
      </w:r>
      <w:r>
        <w:rPr>
          <w:rFonts w:ascii="Times New Roman" w:hAnsi="Times New Roman" w:eastAsia="Times New Roman" w:cs="Times New Roman"/>
          <w:sz w:val="24"/>
          <w:szCs w:val="24"/>
          <w:lang w:eastAsia="ru-RU"/>
        </w:rPr>
        <w:t xml:space="preserve">електронній комунікаційній</w:t>
      </w:r>
      <w:r>
        <w:rPr>
          <w:rFonts w:ascii="Times New Roman" w:hAnsi="Times New Roman" w:eastAsia="Calibri" w:cs="Times New Roman"/>
          <w:bCs/>
          <w:sz w:val="24"/>
          <w:szCs w:val="24"/>
          <w:shd w:val="clear" w:color="auto" w:fill="ffffff"/>
          <w:lang w:eastAsia="zh-CN"/>
        </w:rPr>
        <w:t xml:space="preserve"> мережі загального користування</w:t>
      </w:r>
      <w:r>
        <w:rPr>
          <w:rFonts w:ascii="Times New Roman" w:hAnsi="Times New Roman" w:eastAsia="Calibri" w:cs="Times New Roman"/>
          <w:bCs/>
          <w:sz w:val="24"/>
          <w:szCs w:val="24"/>
        </w:rPr>
        <w:t xml:space="preserve"> під час здійснення екстрених комунікацій має бути виконаний згідно з вимогами Порядку подання нормативно-правов</w:t>
      </w:r>
      <w:r>
        <w:rPr>
          <w:rFonts w:ascii="Times New Roman" w:hAnsi="Times New Roman" w:eastAsia="Calibri" w:cs="Times New Roman"/>
          <w:bCs/>
          <w:sz w:val="24"/>
          <w:szCs w:val="24"/>
        </w:rPr>
        <w:t xml:space="preserve">их актів на державну реєстрацію до Міністерства юстиції України та проведення їх державної реєстрації, затвердженого наказом Міністерства юстиції України від 12.04.2005 № 34/5, зареєстрованого в Міністерстві юстиції України 12 квітня 2005 р. за №381/10661.</w:t>
      </w:r>
      <w:r/>
    </w:p>
    <w:p>
      <w:pPr>
        <w:jc w:val="both"/>
        <w:spacing w:after="0" w:line="240" w:lineRule="auto"/>
        <w:tabs>
          <w:tab w:val="left" w:pos="0" w:leader="none"/>
        </w:tabs>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6.4. Звітні матеріали оформляються Виконавцем та здаються Замовнику на паперовому носієві в одному примірнику та на електронному носієві.</w:t>
      </w:r>
      <w:r/>
    </w:p>
    <w:p>
      <w:pPr>
        <w:jc w:val="both"/>
        <w:spacing w:after="0" w:line="240" w:lineRule="auto"/>
        <w:tabs>
          <w:tab w:val="left" w:pos="0" w:leader="none"/>
        </w:tabs>
        <w:rPr>
          <w:rFonts w:ascii="Times New Roman" w:hAnsi="Times New Roman" w:eastAsia="Calibri" w:cs="Times New Roman"/>
          <w:bCs/>
          <w:sz w:val="24"/>
          <w:szCs w:val="24"/>
        </w:rPr>
      </w:pPr>
      <w:r>
        <w:rPr>
          <w:rFonts w:ascii="Times New Roman" w:hAnsi="Times New Roman" w:eastAsia="Calibri" w:cs="Times New Roman"/>
          <w:bCs/>
          <w:sz w:val="24"/>
          <w:szCs w:val="24"/>
        </w:rPr>
      </w:r>
      <w:r/>
    </w:p>
    <w:p>
      <w:pPr>
        <w:jc w:val="center"/>
        <w:spacing w:after="0" w:line="240" w:lineRule="auto"/>
        <w:tabs>
          <w:tab w:val="left" w:pos="0" w:leader="none"/>
        </w:tabs>
        <w:rPr>
          <w:rFonts w:ascii="Times New Roman" w:hAnsi="Times New Roman" w:eastAsia="Calibri" w:cs="Times New Roman"/>
          <w:b/>
          <w:sz w:val="24"/>
          <w:szCs w:val="24"/>
          <w:lang w:eastAsia="zh-CN"/>
        </w:rPr>
      </w:pPr>
      <w:r>
        <w:rPr>
          <w:rFonts w:ascii="Times New Roman" w:hAnsi="Times New Roman" w:eastAsia="Calibri" w:cs="Times New Roman"/>
          <w:b/>
          <w:sz w:val="24"/>
          <w:szCs w:val="24"/>
        </w:rPr>
        <w:t xml:space="preserve">7. </w:t>
      </w:r>
      <w:r>
        <w:rPr>
          <w:rFonts w:ascii="Times New Roman" w:hAnsi="Times New Roman" w:eastAsia="Calibri" w:cs="Times New Roman"/>
          <w:b/>
          <w:sz w:val="24"/>
          <w:szCs w:val="24"/>
          <w:lang w:eastAsia="zh-CN"/>
        </w:rPr>
        <w:t xml:space="preserve">ПОРЯДОК ПРИЙМАННЯ НДР</w:t>
      </w:r>
      <w:r/>
    </w:p>
    <w:p>
      <w:pPr>
        <w:jc w:val="center"/>
        <w:spacing w:after="0" w:line="240" w:lineRule="auto"/>
        <w:tabs>
          <w:tab w:val="left" w:pos="0"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p>
    <w:p>
      <w:pPr>
        <w:jc w:val="both"/>
        <w:spacing w:after="0" w:line="240" w:lineRule="auto"/>
        <w:rPr>
          <w:rFonts w:ascii="Times New Roman" w:hAnsi="Times New Roman" w:eastAsia="Calibri" w:cs="Times New Roman"/>
          <w:bCs/>
          <w:sz w:val="23"/>
          <w:szCs w:val="23"/>
        </w:rPr>
      </w:pPr>
      <w:r>
        <w:rPr>
          <w:rFonts w:ascii="Times New Roman" w:hAnsi="Times New Roman" w:eastAsia="Calibri" w:cs="Times New Roman"/>
          <w:bCs/>
          <w:sz w:val="23"/>
          <w:szCs w:val="23"/>
        </w:rPr>
        <w:t xml:space="preserve">7.1. Приймання роботи здійснюється відповідно до умов Договору, Технічного завдання на НДР та інших нормативно-правових актів, які регламентують порядок приймання створеної науково-технічної продукції у рамках виконання НДР.</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t xml:space="preserve">7.2. Результати роботи за Договором розглядаються Замовником після подання Виконавцем всіх документів і матеріалів, передбачених Договором.</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t xml:space="preserve">7.3. Результати роботи приймаються Замовником від Виконавця за Актом наданих послуг.</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t xml:space="preserve">7.4. Датою виконання роботи є дата підписання Замовником Акту наданих послуг.</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198 000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сто дев’яносто вісім 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1"/>
  </w:num>
  <w:num w:numId="2">
    <w:abstractNumId w:val="19"/>
  </w:num>
  <w:num w:numId="3">
    <w:abstractNumId w:val="8"/>
  </w:num>
  <w:num w:numId="4">
    <w:abstractNumId w:val="26"/>
  </w:num>
  <w:num w:numId="5">
    <w:abstractNumId w:val="7"/>
  </w:num>
  <w:num w:numId="6">
    <w:abstractNumId w:val="32"/>
  </w:num>
  <w:num w:numId="7">
    <w:abstractNumId w:val="12"/>
  </w:num>
  <w:num w:numId="8">
    <w:abstractNumId w:val="34"/>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
  </w:num>
  <w:num w:numId="18">
    <w:abstractNumId w:val="36"/>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8"/>
  </w:num>
  <w:num w:numId="25">
    <w:abstractNumId w:val="21"/>
  </w:num>
  <w:num w:numId="26">
    <w:abstractNumId w:val="24"/>
  </w:num>
  <w:num w:numId="27">
    <w:abstractNumId w:val="29"/>
  </w:num>
  <w:num w:numId="28">
    <w:abstractNumId w:val="22"/>
  </w:num>
  <w:num w:numId="29">
    <w:abstractNumId w:val="30"/>
  </w:num>
  <w:num w:numId="30">
    <w:abstractNumId w:val="18"/>
  </w:num>
  <w:num w:numId="31">
    <w:abstractNumId w:val="3"/>
  </w:num>
  <w:num w:numId="32">
    <w:abstractNumId w:val="20"/>
  </w:num>
  <w:num w:numId="33">
    <w:abstractNumId w:val="17"/>
  </w:num>
  <w:num w:numId="34">
    <w:abstractNumId w:val="15"/>
  </w:num>
  <w:num w:numId="35">
    <w:abstractNumId w:val="35"/>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9"/>
    <w:next w:val="71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3"/>
    <w:link w:val="12"/>
    <w:uiPriority w:val="9"/>
    <w:rPr>
      <w:rFonts w:ascii="Arial" w:hAnsi="Arial" w:eastAsia="Arial" w:cs="Arial"/>
      <w:sz w:val="40"/>
      <w:szCs w:val="40"/>
    </w:rPr>
  </w:style>
  <w:style w:type="character" w:styleId="15">
    <w:name w:val="Heading 2 Char"/>
    <w:basedOn w:val="723"/>
    <w:link w:val="720"/>
    <w:uiPriority w:val="9"/>
    <w:rPr>
      <w:rFonts w:ascii="Arial" w:hAnsi="Arial" w:eastAsia="Arial" w:cs="Arial"/>
      <w:sz w:val="34"/>
    </w:rPr>
  </w:style>
  <w:style w:type="character" w:styleId="17">
    <w:name w:val="Heading 3 Char"/>
    <w:basedOn w:val="723"/>
    <w:link w:val="721"/>
    <w:uiPriority w:val="9"/>
    <w:rPr>
      <w:rFonts w:ascii="Arial" w:hAnsi="Arial" w:eastAsia="Arial" w:cs="Arial"/>
      <w:sz w:val="30"/>
      <w:szCs w:val="30"/>
    </w:rPr>
  </w:style>
  <w:style w:type="character" w:styleId="19">
    <w:name w:val="Heading 4 Char"/>
    <w:basedOn w:val="723"/>
    <w:link w:val="722"/>
    <w:uiPriority w:val="9"/>
    <w:rPr>
      <w:rFonts w:ascii="Arial" w:hAnsi="Arial" w:eastAsia="Arial" w:cs="Arial"/>
      <w:b/>
      <w:bCs/>
      <w:sz w:val="26"/>
      <w:szCs w:val="26"/>
    </w:rPr>
  </w:style>
  <w:style w:type="paragraph" w:styleId="20">
    <w:name w:val="Heading 5"/>
    <w:basedOn w:val="719"/>
    <w:next w:val="71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3"/>
    <w:link w:val="20"/>
    <w:uiPriority w:val="9"/>
    <w:rPr>
      <w:rFonts w:ascii="Arial" w:hAnsi="Arial" w:eastAsia="Arial" w:cs="Arial"/>
      <w:b/>
      <w:bCs/>
      <w:sz w:val="24"/>
      <w:szCs w:val="24"/>
    </w:rPr>
  </w:style>
  <w:style w:type="paragraph" w:styleId="22">
    <w:name w:val="Heading 6"/>
    <w:basedOn w:val="719"/>
    <w:next w:val="71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3"/>
    <w:link w:val="22"/>
    <w:uiPriority w:val="9"/>
    <w:rPr>
      <w:rFonts w:ascii="Arial" w:hAnsi="Arial" w:eastAsia="Arial" w:cs="Arial"/>
      <w:b/>
      <w:bCs/>
      <w:sz w:val="22"/>
      <w:szCs w:val="22"/>
    </w:rPr>
  </w:style>
  <w:style w:type="paragraph" w:styleId="24">
    <w:name w:val="Heading 7"/>
    <w:basedOn w:val="719"/>
    <w:next w:val="71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3"/>
    <w:link w:val="24"/>
    <w:uiPriority w:val="9"/>
    <w:rPr>
      <w:rFonts w:ascii="Arial" w:hAnsi="Arial" w:eastAsia="Arial" w:cs="Arial"/>
      <w:b/>
      <w:bCs/>
      <w:i/>
      <w:iCs/>
      <w:sz w:val="22"/>
      <w:szCs w:val="22"/>
    </w:rPr>
  </w:style>
  <w:style w:type="paragraph" w:styleId="26">
    <w:name w:val="Heading 8"/>
    <w:basedOn w:val="719"/>
    <w:next w:val="71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3"/>
    <w:link w:val="26"/>
    <w:uiPriority w:val="9"/>
    <w:rPr>
      <w:rFonts w:ascii="Arial" w:hAnsi="Arial" w:eastAsia="Arial" w:cs="Arial"/>
      <w:i/>
      <w:iCs/>
      <w:sz w:val="22"/>
      <w:szCs w:val="22"/>
    </w:rPr>
  </w:style>
  <w:style w:type="paragraph" w:styleId="28">
    <w:name w:val="Heading 9"/>
    <w:basedOn w:val="719"/>
    <w:next w:val="71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3"/>
    <w:link w:val="28"/>
    <w:uiPriority w:val="9"/>
    <w:rPr>
      <w:rFonts w:ascii="Arial" w:hAnsi="Arial" w:eastAsia="Arial" w:cs="Arial"/>
      <w:i/>
      <w:iCs/>
      <w:sz w:val="21"/>
      <w:szCs w:val="21"/>
    </w:rPr>
  </w:style>
  <w:style w:type="paragraph" w:styleId="33">
    <w:name w:val="Title"/>
    <w:basedOn w:val="719"/>
    <w:next w:val="719"/>
    <w:link w:val="34"/>
    <w:uiPriority w:val="10"/>
    <w:qFormat/>
    <w:pPr>
      <w:contextualSpacing/>
      <w:spacing w:before="300" w:after="200"/>
    </w:pPr>
    <w:rPr>
      <w:sz w:val="48"/>
      <w:szCs w:val="48"/>
    </w:rPr>
  </w:style>
  <w:style w:type="character" w:styleId="34">
    <w:name w:val="Title Char"/>
    <w:basedOn w:val="723"/>
    <w:link w:val="33"/>
    <w:uiPriority w:val="10"/>
    <w:rPr>
      <w:sz w:val="48"/>
      <w:szCs w:val="48"/>
    </w:rPr>
  </w:style>
  <w:style w:type="paragraph" w:styleId="35">
    <w:name w:val="Subtitle"/>
    <w:basedOn w:val="719"/>
    <w:next w:val="719"/>
    <w:link w:val="36"/>
    <w:uiPriority w:val="11"/>
    <w:qFormat/>
    <w:pPr>
      <w:spacing w:before="200" w:after="200"/>
    </w:pPr>
    <w:rPr>
      <w:sz w:val="24"/>
      <w:szCs w:val="24"/>
    </w:rPr>
  </w:style>
  <w:style w:type="character" w:styleId="36">
    <w:name w:val="Subtitle Char"/>
    <w:basedOn w:val="723"/>
    <w:link w:val="35"/>
    <w:uiPriority w:val="11"/>
    <w:rPr>
      <w:sz w:val="24"/>
      <w:szCs w:val="24"/>
    </w:rPr>
  </w:style>
  <w:style w:type="paragraph" w:styleId="37">
    <w:name w:val="Quote"/>
    <w:basedOn w:val="719"/>
    <w:next w:val="719"/>
    <w:link w:val="38"/>
    <w:uiPriority w:val="29"/>
    <w:qFormat/>
    <w:pPr>
      <w:ind w:left="720" w:right="720"/>
    </w:pPr>
    <w:rPr>
      <w:i/>
    </w:rPr>
  </w:style>
  <w:style w:type="character" w:styleId="38">
    <w:name w:val="Quote Char"/>
    <w:link w:val="37"/>
    <w:uiPriority w:val="29"/>
    <w:rPr>
      <w:i/>
    </w:rPr>
  </w:style>
  <w:style w:type="paragraph" w:styleId="39">
    <w:name w:val="Intense Quote"/>
    <w:basedOn w:val="719"/>
    <w:next w:val="71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9"/>
    <w:link w:val="42"/>
    <w:uiPriority w:val="99"/>
    <w:unhideWhenUsed/>
    <w:pPr>
      <w:spacing w:after="0" w:line="240" w:lineRule="auto"/>
      <w:tabs>
        <w:tab w:val="center" w:pos="7143" w:leader="none"/>
        <w:tab w:val="right" w:pos="14287" w:leader="none"/>
      </w:tabs>
    </w:pPr>
  </w:style>
  <w:style w:type="character" w:styleId="42">
    <w:name w:val="Header Char"/>
    <w:basedOn w:val="723"/>
    <w:link w:val="41"/>
    <w:uiPriority w:val="99"/>
  </w:style>
  <w:style w:type="character" w:styleId="44">
    <w:name w:val="Footer Char"/>
    <w:basedOn w:val="723"/>
    <w:link w:val="732"/>
    <w:uiPriority w:val="99"/>
  </w:style>
  <w:style w:type="paragraph" w:styleId="45">
    <w:name w:val="Caption"/>
    <w:basedOn w:val="719"/>
    <w:next w:val="719"/>
    <w:uiPriority w:val="35"/>
    <w:semiHidden/>
    <w:unhideWhenUsed/>
    <w:qFormat/>
    <w:pPr>
      <w:spacing w:line="276" w:lineRule="auto"/>
    </w:pPr>
    <w:rPr>
      <w:b/>
      <w:bCs/>
      <w:color w:val="4f81bd" w:themeColor="accent1"/>
      <w:sz w:val="18"/>
      <w:szCs w:val="18"/>
    </w:rPr>
  </w:style>
  <w:style w:type="character" w:styleId="46">
    <w:name w:val="Caption Char"/>
    <w:basedOn w:val="45"/>
    <w:link w:val="732"/>
    <w:uiPriority w:val="99"/>
  </w:style>
  <w:style w:type="table" w:styleId="48">
    <w:name w:val="Table Grid Light"/>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3"/>
    <w:uiPriority w:val="99"/>
    <w:unhideWhenUsed/>
    <w:rPr>
      <w:vertAlign w:val="superscript"/>
    </w:rPr>
  </w:style>
  <w:style w:type="paragraph" w:styleId="177">
    <w:name w:val="endnote text"/>
    <w:basedOn w:val="71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3"/>
    <w:uiPriority w:val="99"/>
    <w:semiHidden/>
    <w:unhideWhenUsed/>
    <w:rPr>
      <w:vertAlign w:val="superscript"/>
    </w:rPr>
  </w:style>
  <w:style w:type="paragraph" w:styleId="180">
    <w:name w:val="toc 1"/>
    <w:basedOn w:val="719"/>
    <w:next w:val="719"/>
    <w:uiPriority w:val="39"/>
    <w:unhideWhenUsed/>
    <w:pPr>
      <w:ind w:left="0" w:right="0" w:firstLine="0"/>
      <w:spacing w:after="57"/>
    </w:pPr>
  </w:style>
  <w:style w:type="paragraph" w:styleId="181">
    <w:name w:val="toc 2"/>
    <w:basedOn w:val="719"/>
    <w:next w:val="719"/>
    <w:uiPriority w:val="39"/>
    <w:unhideWhenUsed/>
    <w:pPr>
      <w:ind w:left="283" w:right="0" w:firstLine="0"/>
      <w:spacing w:after="57"/>
    </w:pPr>
  </w:style>
  <w:style w:type="paragraph" w:styleId="182">
    <w:name w:val="toc 3"/>
    <w:basedOn w:val="719"/>
    <w:next w:val="719"/>
    <w:uiPriority w:val="39"/>
    <w:unhideWhenUsed/>
    <w:pPr>
      <w:ind w:left="567" w:right="0" w:firstLine="0"/>
      <w:spacing w:after="57"/>
    </w:pPr>
  </w:style>
  <w:style w:type="paragraph" w:styleId="183">
    <w:name w:val="toc 4"/>
    <w:basedOn w:val="719"/>
    <w:next w:val="719"/>
    <w:uiPriority w:val="39"/>
    <w:unhideWhenUsed/>
    <w:pPr>
      <w:ind w:left="850" w:right="0" w:firstLine="0"/>
      <w:spacing w:after="57"/>
    </w:pPr>
  </w:style>
  <w:style w:type="paragraph" w:styleId="184">
    <w:name w:val="toc 5"/>
    <w:basedOn w:val="719"/>
    <w:next w:val="719"/>
    <w:uiPriority w:val="39"/>
    <w:unhideWhenUsed/>
    <w:pPr>
      <w:ind w:left="1134" w:right="0" w:firstLine="0"/>
      <w:spacing w:after="57"/>
    </w:pPr>
  </w:style>
  <w:style w:type="paragraph" w:styleId="185">
    <w:name w:val="toc 6"/>
    <w:basedOn w:val="719"/>
    <w:next w:val="719"/>
    <w:uiPriority w:val="39"/>
    <w:unhideWhenUsed/>
    <w:pPr>
      <w:ind w:left="1417" w:right="0" w:firstLine="0"/>
      <w:spacing w:after="57"/>
    </w:pPr>
  </w:style>
  <w:style w:type="paragraph" w:styleId="186">
    <w:name w:val="toc 7"/>
    <w:basedOn w:val="719"/>
    <w:next w:val="719"/>
    <w:uiPriority w:val="39"/>
    <w:unhideWhenUsed/>
    <w:pPr>
      <w:ind w:left="1701" w:right="0" w:firstLine="0"/>
      <w:spacing w:after="57"/>
    </w:pPr>
  </w:style>
  <w:style w:type="paragraph" w:styleId="187">
    <w:name w:val="toc 8"/>
    <w:basedOn w:val="719"/>
    <w:next w:val="719"/>
    <w:uiPriority w:val="39"/>
    <w:unhideWhenUsed/>
    <w:pPr>
      <w:ind w:left="1984" w:right="0" w:firstLine="0"/>
      <w:spacing w:after="57"/>
    </w:pPr>
  </w:style>
  <w:style w:type="paragraph" w:styleId="188">
    <w:name w:val="toc 9"/>
    <w:basedOn w:val="719"/>
    <w:next w:val="71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9"/>
    <w:next w:val="719"/>
    <w:uiPriority w:val="99"/>
    <w:unhideWhenUsed/>
    <w:pPr>
      <w:spacing w:after="0" w:afterAutospacing="0"/>
    </w:pPr>
  </w:style>
  <w:style w:type="paragraph" w:styleId="719" w:default="1">
    <w:name w:val="Normal"/>
    <w:qFormat/>
    <w:rPr>
      <w:lang w:val="uk-UA"/>
    </w:rPr>
  </w:style>
  <w:style w:type="paragraph" w:styleId="720">
    <w:name w:val="Heading 2"/>
    <w:basedOn w:val="719"/>
    <w:link w:val="74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1">
    <w:name w:val="Heading 3"/>
    <w:basedOn w:val="719"/>
    <w:next w:val="719"/>
    <w:link w:val="75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2">
    <w:name w:val="Heading 4"/>
    <w:basedOn w:val="719"/>
    <w:next w:val="719"/>
    <w:link w:val="75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name w:val="List Paragraph"/>
    <w:basedOn w:val="719"/>
    <w:link w:val="727"/>
    <w:uiPriority w:val="34"/>
    <w:qFormat/>
    <w:pPr>
      <w:contextualSpacing/>
      <w:ind w:left="720"/>
      <w:spacing w:after="200" w:line="276" w:lineRule="auto"/>
    </w:pPr>
    <w:rPr>
      <w:rFonts w:ascii="Calibri" w:hAnsi="Calibri" w:eastAsia="Calibri" w:cs="Calibri"/>
      <w:lang w:val="ru-RU" w:eastAsia="zh-CN"/>
    </w:rPr>
  </w:style>
  <w:style w:type="character" w:styleId="727" w:customStyle="1">
    <w:name w:val="Абзац списку Знак"/>
    <w:link w:val="726"/>
    <w:uiPriority w:val="34"/>
    <w:qFormat/>
    <w:rPr>
      <w:rFonts w:ascii="Calibri" w:hAnsi="Calibri" w:eastAsia="Calibri" w:cs="Calibri"/>
      <w:lang w:eastAsia="zh-CN"/>
    </w:rPr>
  </w:style>
  <w:style w:type="table" w:styleId="728">
    <w:name w:val="Table Grid"/>
    <w:basedOn w:val="72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9" w:customStyle="1">
    <w:name w:val="Сетка таблицы2"/>
    <w:basedOn w:val="724"/>
    <w:next w:val="72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0">
    <w:name w:val="Normal (Web)"/>
    <w:basedOn w:val="719"/>
    <w:link w:val="737"/>
    <w:uiPriority w:val="99"/>
    <w:unhideWhenUsed/>
    <w:qFormat/>
    <w:rPr>
      <w:rFonts w:ascii="Times New Roman" w:hAnsi="Times New Roman" w:cs="Times New Roman"/>
      <w:sz w:val="24"/>
      <w:szCs w:val="24"/>
    </w:rPr>
  </w:style>
  <w:style w:type="table" w:styleId="731" w:customStyle="1">
    <w:name w:val="Сетка таблицы1"/>
    <w:basedOn w:val="724"/>
    <w:next w:val="72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Footer"/>
    <w:basedOn w:val="719"/>
    <w:link w:val="73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3" w:customStyle="1">
    <w:name w:val="Нижній колонтитул Знак"/>
    <w:basedOn w:val="723"/>
    <w:link w:val="732"/>
    <w:uiPriority w:val="99"/>
    <w:rPr>
      <w:rFonts w:ascii="Calibri" w:hAnsi="Calibri" w:eastAsia="Calibri" w:cs="Calibri"/>
      <w:lang w:eastAsia="zh-CN"/>
    </w:rPr>
  </w:style>
  <w:style w:type="paragraph" w:styleId="73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5">
    <w:name w:val="Hyperlink"/>
    <w:basedOn w:val="723"/>
    <w:uiPriority w:val="99"/>
    <w:unhideWhenUsed/>
    <w:rPr>
      <w:color w:val="0563c1" w:themeColor="hyperlink"/>
      <w:u w:val="single"/>
    </w:rPr>
  </w:style>
  <w:style w:type="character" w:styleId="736" w:customStyle="1">
    <w:name w:val="xfm_93972720"/>
    <w:basedOn w:val="723"/>
  </w:style>
  <w:style w:type="character" w:styleId="737" w:customStyle="1">
    <w:name w:val="Звичайний (веб) Знак"/>
    <w:link w:val="730"/>
    <w:qFormat/>
    <w:rPr>
      <w:rFonts w:ascii="Times New Roman" w:hAnsi="Times New Roman" w:cs="Times New Roman"/>
      <w:sz w:val="24"/>
      <w:szCs w:val="24"/>
      <w:lang w:val="uk-UA"/>
    </w:rPr>
  </w:style>
  <w:style w:type="paragraph" w:styleId="738">
    <w:name w:val="Body Text 2"/>
    <w:basedOn w:val="719"/>
    <w:link w:val="739"/>
    <w:pPr>
      <w:spacing w:after="0" w:line="240" w:lineRule="auto"/>
    </w:pPr>
    <w:rPr>
      <w:rFonts w:ascii="Times New Roman" w:hAnsi="Times New Roman" w:eastAsia="Times New Roman" w:cs="Times New Roman"/>
      <w:sz w:val="28"/>
      <w:szCs w:val="20"/>
      <w:lang w:val="ru-RU" w:eastAsia="ru-RU"/>
    </w:rPr>
  </w:style>
  <w:style w:type="character" w:styleId="739" w:customStyle="1">
    <w:name w:val="Основний текст 2 Знак"/>
    <w:basedOn w:val="723"/>
    <w:link w:val="738"/>
    <w:rPr>
      <w:rFonts w:ascii="Times New Roman" w:hAnsi="Times New Roman" w:eastAsia="Times New Roman" w:cs="Times New Roman"/>
      <w:sz w:val="28"/>
      <w:szCs w:val="20"/>
      <w:lang w:eastAsia="ru-RU"/>
    </w:rPr>
  </w:style>
  <w:style w:type="paragraph" w:styleId="74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1" w:customStyle="1">
    <w:name w:val="Заголовок 2 Знак"/>
    <w:basedOn w:val="723"/>
    <w:link w:val="720"/>
    <w:uiPriority w:val="9"/>
    <w:rPr>
      <w:rFonts w:ascii="Times New Roman" w:hAnsi="Times New Roman" w:eastAsia="Times New Roman" w:cs="Times New Roman"/>
      <w:b/>
      <w:bCs/>
      <w:sz w:val="36"/>
      <w:szCs w:val="36"/>
      <w:lang w:val="uk-UA" w:eastAsia="uk-UA"/>
    </w:rPr>
  </w:style>
  <w:style w:type="paragraph" w:styleId="742">
    <w:name w:val="No Spacing"/>
    <w:link w:val="743"/>
    <w:uiPriority w:val="1"/>
    <w:qFormat/>
    <w:pPr>
      <w:spacing w:after="0" w:line="240" w:lineRule="auto"/>
    </w:pPr>
    <w:rPr>
      <w:rFonts w:ascii="Calibri" w:hAnsi="Calibri" w:eastAsia="Calibri" w:cs="Times New Roman"/>
      <w:lang w:val="uk-UA"/>
    </w:rPr>
  </w:style>
  <w:style w:type="character" w:styleId="743" w:customStyle="1">
    <w:name w:val="Без інтервалів Знак"/>
    <w:basedOn w:val="723"/>
    <w:link w:val="742"/>
    <w:uiPriority w:val="1"/>
    <w:rPr>
      <w:rFonts w:ascii="Calibri" w:hAnsi="Calibri" w:eastAsia="Calibri" w:cs="Times New Roman"/>
      <w:lang w:val="uk-UA"/>
    </w:rPr>
  </w:style>
  <w:style w:type="character" w:styleId="744" w:customStyle="1">
    <w:name w:val="Другое_"/>
    <w:basedOn w:val="723"/>
    <w:link w:val="745"/>
    <w:rPr>
      <w:rFonts w:ascii="Calibri" w:hAnsi="Calibri" w:eastAsia="Calibri" w:cs="Calibri"/>
      <w:sz w:val="20"/>
      <w:szCs w:val="20"/>
    </w:rPr>
  </w:style>
  <w:style w:type="paragraph" w:styleId="745" w:customStyle="1">
    <w:name w:val="Другое"/>
    <w:basedOn w:val="719"/>
    <w:link w:val="744"/>
    <w:qFormat/>
    <w:pPr>
      <w:spacing w:after="0" w:line="240" w:lineRule="auto"/>
      <w:widowControl w:val="off"/>
    </w:pPr>
    <w:rPr>
      <w:rFonts w:ascii="Calibri" w:hAnsi="Calibri" w:eastAsia="Calibri" w:cs="Calibri"/>
      <w:sz w:val="20"/>
      <w:szCs w:val="20"/>
      <w:lang w:val="ru-RU"/>
    </w:rPr>
  </w:style>
  <w:style w:type="paragraph" w:styleId="74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7" w:customStyle="1">
    <w:name w:val="Основной текст (2)_"/>
    <w:basedOn w:val="723"/>
    <w:link w:val="748"/>
    <w:rPr>
      <w:rFonts w:eastAsia="Times New Roman" w:cs="Times New Roman"/>
      <w:shd w:val="clear" w:color="auto" w:fill="ffffff"/>
    </w:rPr>
  </w:style>
  <w:style w:type="paragraph" w:styleId="748" w:customStyle="1">
    <w:name w:val="Основной текст (2)"/>
    <w:basedOn w:val="719"/>
    <w:link w:val="747"/>
    <w:pPr>
      <w:ind w:hanging="700"/>
      <w:jc w:val="both"/>
      <w:spacing w:before="240" w:after="480" w:line="0" w:lineRule="atLeast"/>
      <w:shd w:val="clear" w:color="auto" w:fill="ffffff"/>
      <w:widowControl w:val="off"/>
    </w:pPr>
    <w:rPr>
      <w:rFonts w:eastAsia="Times New Roman" w:cs="Times New Roman"/>
      <w:lang w:val="ru-RU"/>
    </w:rPr>
  </w:style>
  <w:style w:type="character" w:styleId="749" w:customStyle="1">
    <w:name w:val="Текст у виносці Знак"/>
    <w:basedOn w:val="723"/>
    <w:link w:val="750"/>
    <w:uiPriority w:val="99"/>
    <w:semiHidden/>
    <w:rPr>
      <w:rFonts w:ascii="Segoe UI" w:hAnsi="Segoe UI" w:eastAsia="Times New Roman" w:cs="Segoe UI"/>
      <w:sz w:val="18"/>
      <w:szCs w:val="18"/>
      <w:lang w:eastAsia="ru-RU"/>
    </w:rPr>
  </w:style>
  <w:style w:type="paragraph" w:styleId="750">
    <w:name w:val="Balloon Text"/>
    <w:basedOn w:val="719"/>
    <w:link w:val="74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1" w:customStyle="1">
    <w:name w:val="Текст у виносці Знак1"/>
    <w:basedOn w:val="723"/>
    <w:uiPriority w:val="99"/>
    <w:semiHidden/>
    <w:rPr>
      <w:rFonts w:ascii="Segoe UI" w:hAnsi="Segoe UI" w:cs="Segoe UI"/>
      <w:sz w:val="18"/>
      <w:szCs w:val="18"/>
      <w:lang w:val="uk-UA"/>
    </w:rPr>
  </w:style>
  <w:style w:type="character" w:styleId="752" w:customStyle="1">
    <w:name w:val="T23"/>
    <w:rPr>
      <w:rFonts w:hint="default" w:ascii="Times New Roman" w:hAnsi="Times New Roman" w:eastAsia="Times New Roman1" w:cs="Times New Roman"/>
    </w:rPr>
  </w:style>
  <w:style w:type="paragraph" w:styleId="753" w:customStyle="1">
    <w:name w:val="Абзац списку1"/>
    <w:basedOn w:val="71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4" w:customStyle="1">
    <w:name w:val="markedcontent"/>
    <w:basedOn w:val="723"/>
  </w:style>
  <w:style w:type="paragraph" w:styleId="755">
    <w:name w:val="annotation text"/>
    <w:basedOn w:val="719"/>
    <w:link w:val="75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6" w:customStyle="1">
    <w:name w:val="Текст примітки Знак"/>
    <w:basedOn w:val="723"/>
    <w:link w:val="755"/>
    <w:uiPriority w:val="99"/>
    <w:rPr>
      <w:rFonts w:ascii="Times New Roman" w:hAnsi="Times New Roman" w:eastAsia="Times New Roman" w:cs="Times New Roman"/>
      <w:sz w:val="20"/>
      <w:szCs w:val="20"/>
      <w:lang w:eastAsia="ru-RU"/>
    </w:rPr>
  </w:style>
  <w:style w:type="character" w:styleId="757" w:customStyle="1">
    <w:name w:val="docdata"/>
    <w:basedOn w:val="723"/>
  </w:style>
  <w:style w:type="character" w:styleId="758" w:customStyle="1">
    <w:name w:val="Заголовок 3 Знак"/>
    <w:basedOn w:val="723"/>
    <w:link w:val="721"/>
    <w:uiPriority w:val="9"/>
    <w:semiHidden/>
    <w:rPr>
      <w:rFonts w:asciiTheme="majorHAnsi" w:hAnsiTheme="majorHAnsi" w:eastAsiaTheme="majorEastAsia" w:cstheme="majorBidi"/>
      <w:color w:val="1f4d78" w:themeColor="accent1" w:themeShade="7F"/>
      <w:sz w:val="24"/>
      <w:szCs w:val="24"/>
      <w:lang w:val="uk-UA"/>
    </w:rPr>
  </w:style>
  <w:style w:type="character" w:styleId="759" w:customStyle="1">
    <w:name w:val="Заголовок 4 Знак"/>
    <w:basedOn w:val="723"/>
    <w:link w:val="722"/>
    <w:uiPriority w:val="9"/>
    <w:semiHidden/>
    <w:rPr>
      <w:rFonts w:asciiTheme="majorHAnsi" w:hAnsiTheme="majorHAnsi" w:eastAsiaTheme="majorEastAsia" w:cstheme="majorBidi"/>
      <w:i/>
      <w:iCs/>
      <w:color w:val="2e74b5" w:themeColor="accent1" w:themeShade="BF"/>
      <w:lang w:val="uk-UA"/>
    </w:rPr>
  </w:style>
  <w:style w:type="paragraph" w:styleId="760" w:customStyle="1">
    <w:name w:val="name-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1" w:customStyle="1">
    <w:name w:val="cont-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2">
    <w:name w:val="Strong"/>
    <w:basedOn w:val="723"/>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155</cp:revision>
  <dcterms:created xsi:type="dcterms:W3CDTF">2022-11-01T12:47:00Z</dcterms:created>
  <dcterms:modified xsi:type="dcterms:W3CDTF">2024-02-07T11:40:04Z</dcterms:modified>
</cp:coreProperties>
</file>