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3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rStyle w:val="743"/>
            <w:b w:val="0"/>
            <w:bCs w:val="0"/>
            <w:color w:val="000000"/>
            <w:sz w:val="24"/>
            <w:szCs w:val="24"/>
            <w:u w:val="none"/>
          </w:rPr>
          <w:t xml:space="preserve">Послуги з відновлення працездатності комплексів автоматичної фото/</w:t>
        </w:r>
        <w:r>
          <w:rPr>
            <w:rStyle w:val="743"/>
            <w:b w:val="0"/>
            <w:bCs w:val="0"/>
            <w:color w:val="000000"/>
            <w:sz w:val="24"/>
            <w:szCs w:val="24"/>
            <w:u w:val="none"/>
          </w:rPr>
          <w:t xml:space="preserve">відеофіксації</w:t>
        </w:r>
        <w:r>
          <w:rPr>
            <w:rStyle w:val="743"/>
            <w:b w:val="0"/>
            <w:bCs w:val="0"/>
            <w:color w:val="000000"/>
            <w:sz w:val="24"/>
            <w:szCs w:val="24"/>
            <w:u w:val="none"/>
          </w:rPr>
          <w:t xml:space="preserve"> правопорушень у сфері безпеки дорожнього руху «КАСКАД» із серійними номерами 027-1219, 037-1</w:t>
        </w:r>
        <w:r>
          <w:rPr>
            <w:rStyle w:val="743"/>
            <w:b w:val="0"/>
            <w:bCs w:val="0"/>
            <w:color w:val="000000"/>
            <w:sz w:val="24"/>
            <w:szCs w:val="24"/>
            <w:u w:val="none"/>
          </w:rPr>
          <w:t xml:space="preserve">219, 038-1219, 040-1219, 051-1219,056-1219, 096-1120, 112-1120, 137-1120, 142-1220, 157-1220, 209-1220 та 216-1220 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42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013658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"https://www.dzo.com.ua/tenders/17227183"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Послуги з відновлення працездатності комплексів автоматичної фото/</w:t>
      </w:r>
      <w:r>
        <w:rPr>
          <w:rStyle w:val="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відеофіксації</w:t>
      </w:r>
      <w:r>
        <w:rPr>
          <w:rStyle w:val="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 правопорушень у сфері безпеки дорожнього руху «КАСКАД» із серійними номерами 027-1219, 037-1</w:t>
      </w:r>
      <w:r>
        <w:rPr>
          <w:rStyle w:val="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219, 038-1219, 040-1219, 051-1219,056-1219, 096-1120, 112-1120, 137-1120, 142-1220, 157-1220, 209-1220 та 216-1220 за ДК 021:2015 : 50230000-6 Послуги з ремонту, технічного обслуговування дорожньої інфраструктури і пов’язаного обладнання та супутні послуги</w:t>
      </w:r>
      <w:r>
        <w:rPr>
          <w:rStyle w:val="743"/>
          <w:rFonts w:ascii="Times New Roman" w:hAnsi="Times New Roman" w:cs="Times New Roman"/>
          <w:color w:val="000000"/>
          <w:sz w:val="24"/>
          <w:szCs w:val="24"/>
          <w:u w:val="none"/>
        </w:rPr>
        <w:fldChar w:fldCharType="end"/>
      </w:r>
      <w:bookmarkEnd w:id="0"/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Загальна інформація</w:t>
      </w:r>
      <w:r/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Предметом закупівлі є послуги організаційних та технічних заходів, пов'язаних із забезпеченням працездатного стану «Комплексів автоматичної фото/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відеофіксації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правопорушень у сфері безпеки дорожнього руху “КАСКАД”» (далі – Комплекс «Каскад»), які здійснюються шляхом надання послуг з ремонту відповідно до експлуатаційної докуме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нтації та згідно «Порядку технічної експлуатації системи фіксації адміністративних правопорушень у сфері забезпечення безпеки дорожнього руху в автоматичному режимі», затвердженого Наказом Міністерства внутрішніх справ України від 06 квітня 2020 року №326.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Комплекс «КАСКАД» вироблений ТОВ «Українські системні інновації» та забезпечує в автоматичному режимі фотозйомку та відеозапис подій, що містять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ознаки адміністративних правопорушень у сфері забезпечення безпеки дорожнього руху,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Ремонт проводиться з метою підтримання працездатного стану Комплексів «КАСКАД».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027-1219</w:t>
      </w:r>
      <w:r/>
    </w:p>
    <w:tbl>
      <w:tblPr>
        <w:tblStyle w:val="736"/>
        <w:tblW w:w="9522" w:type="dxa"/>
        <w:tblLook w:val="04A0" w:firstRow="1" w:lastRow="0" w:firstColumn="1" w:lastColumn="0" w:noHBand="0" w:noVBand="1"/>
      </w:tblPr>
      <w:tblGrid>
        <w:gridCol w:w="851"/>
        <w:gridCol w:w="6232"/>
        <w:gridCol w:w="1251"/>
        <w:gridCol w:w="1177"/>
        <w:gridCol w:w="11"/>
      </w:tblGrid>
      <w:tr>
        <w:trPr>
          <w:gridAfter w:val="1"/>
          <w:trHeight w:val="62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5"/>
            <w:shd w:val="clear" w:color="auto" w:fill="auto"/>
            <w:tcW w:w="9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 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037-1219</w:t>
      </w:r>
      <w:r/>
    </w:p>
    <w:tbl>
      <w:tblPr>
        <w:tblStyle w:val="736"/>
        <w:tblW w:w="9551" w:type="dxa"/>
        <w:tblLook w:val="04A0" w:firstRow="1" w:lastRow="0" w:firstColumn="1" w:lastColumn="0" w:noHBand="0" w:noVBand="1"/>
      </w:tblPr>
      <w:tblGrid>
        <w:gridCol w:w="839"/>
        <w:gridCol w:w="6386"/>
        <w:gridCol w:w="1136"/>
        <w:gridCol w:w="1177"/>
        <w:gridCol w:w="13"/>
      </w:tblGrid>
      <w:tr>
        <w:trPr>
          <w:gridAfter w:val="1"/>
          <w:trHeight w:val="417"/>
        </w:trPr>
        <w:tc>
          <w:tcPr>
            <w:shd w:val="clear" w:color="auto" w:fill="auto"/>
            <w:tcW w:w="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41"/>
        </w:trPr>
        <w:tc>
          <w:tcPr>
            <w:gridSpan w:val="5"/>
            <w:shd w:val="clear" w:color="auto" w:fill="auto"/>
            <w:tcW w:w="9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 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038-1219</w:t>
      </w:r>
      <w:r/>
    </w:p>
    <w:tbl>
      <w:tblPr>
        <w:tblStyle w:val="736"/>
        <w:tblW w:w="9522" w:type="dxa"/>
        <w:tblLook w:val="04A0" w:firstRow="1" w:lastRow="0" w:firstColumn="1" w:lastColumn="0" w:noHBand="0" w:noVBand="1"/>
      </w:tblPr>
      <w:tblGrid>
        <w:gridCol w:w="851"/>
        <w:gridCol w:w="6232"/>
        <w:gridCol w:w="1251"/>
        <w:gridCol w:w="1177"/>
        <w:gridCol w:w="11"/>
      </w:tblGrid>
      <w:tr>
        <w:trPr>
          <w:gridAfter w:val="1"/>
          <w:trHeight w:val="62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5"/>
            <w:shd w:val="clear" w:color="auto" w:fill="auto"/>
            <w:tcW w:w="9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роутера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  <w:trHeight w:val="39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пристрою моніторингу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зовнішнього електричного автоматичного вимикача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auto"/>
            <w:tcW w:w="623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040-1219</w:t>
      </w:r>
      <w:r/>
    </w:p>
    <w:tbl>
      <w:tblPr>
        <w:tblStyle w:val="736"/>
        <w:tblW w:w="9522" w:type="dxa"/>
        <w:tblLook w:val="04A0" w:firstRow="1" w:lastRow="0" w:firstColumn="1" w:lastColumn="0" w:noHBand="0" w:noVBand="1"/>
      </w:tblPr>
      <w:tblGrid>
        <w:gridCol w:w="852"/>
        <w:gridCol w:w="6231"/>
        <w:gridCol w:w="1249"/>
        <w:gridCol w:w="1177"/>
        <w:gridCol w:w="13"/>
      </w:tblGrid>
      <w:tr>
        <w:trPr>
          <w:gridAfter w:val="1"/>
          <w:trHeight w:val="51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2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5"/>
            <w:shd w:val="clear" w:color="auto" w:fill="auto"/>
            <w:tcW w:w="9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39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2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 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051-1219</w:t>
      </w:r>
      <w:r/>
    </w:p>
    <w:tbl>
      <w:tblPr>
        <w:tblStyle w:val="736"/>
        <w:tblW w:w="9663" w:type="dxa"/>
        <w:tblLook w:val="04A0" w:firstRow="1" w:lastRow="0" w:firstColumn="1" w:lastColumn="0" w:noHBand="0" w:noVBand="1"/>
      </w:tblPr>
      <w:tblGrid>
        <w:gridCol w:w="852"/>
        <w:gridCol w:w="6373"/>
        <w:gridCol w:w="1249"/>
        <w:gridCol w:w="1177"/>
        <w:gridCol w:w="12"/>
      </w:tblGrid>
      <w:tr>
        <w:trPr>
          <w:gridAfter w:val="1"/>
          <w:trHeight w:val="447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5"/>
            <w:shd w:val="clear" w:color="auto" w:fill="auto"/>
            <w:tcW w:w="9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419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плати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когмутації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  <w:trHeight w:val="419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  <w:trHeight w:val="466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системи резервного живлення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gridAfter w:val="1"/>
          <w:trHeight w:val="593"/>
        </w:trPr>
        <w:tc>
          <w:tcPr>
            <w:shd w:val="clear" w:color="auto" w:fill="auto"/>
            <w:tcW w:w="8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W w:w="63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056-1120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прожектора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акрилу лицьової панелі при заміні прожектора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096-1120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прожектора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акрилу лицьової панелі при заміні прожектора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материнської плати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112-1120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137-1120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системного монітору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142-1220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1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пристрою моніторингу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157-1220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плати комутації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209-1220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системного монітору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pStyle w:val="900"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 КАСКАД 216-1220</w:t>
      </w:r>
      <w:r/>
    </w:p>
    <w:tbl>
      <w:tblPr>
        <w:tblStyle w:val="736"/>
        <w:tblW w:w="9653" w:type="dxa"/>
        <w:tblLook w:val="04A0" w:firstRow="1" w:lastRow="0" w:firstColumn="1" w:lastColumn="0" w:noHBand="0" w:noVBand="1"/>
      </w:tblPr>
      <w:tblGrid>
        <w:gridCol w:w="849"/>
        <w:gridCol w:w="6376"/>
        <w:gridCol w:w="1248"/>
        <w:gridCol w:w="1180"/>
      </w:tblGrid>
      <w:tr>
        <w:trPr>
          <w:trHeight w:val="387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 і витрат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266"/>
        </w:trPr>
        <w:tc>
          <w:tcPr>
            <w:gridSpan w:val="4"/>
            <w:shd w:val="clear" w:color="auto" w:fill="auto"/>
            <w:tcW w:w="9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системного монітору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Заміна SSD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та тестування комплексу в сервісному центрі.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налагоджування обладнання на місці встановлення з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монтажем та підключенням до інженерних мереж.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W w:w="63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повірки комплексу на місці встановлення.</w:t>
            </w:r>
            <w:r/>
          </w:p>
        </w:tc>
        <w:tc>
          <w:tcPr>
            <w:shd w:val="clear" w:color="auto" w:fill="auto"/>
            <w:tcW w:w="1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contextualSpacing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відповідні дозвільні документи на надання послуг, згідно з умовами Договору.</w:t>
      </w:r>
      <w:r/>
    </w:p>
    <w:p>
      <w:pPr>
        <w:contextualSpacing/>
        <w:jc w:val="both"/>
        <w:spacing w:after="0" w:line="240" w:lineRule="auto"/>
        <w:tabs>
          <w:tab w:val="left" w:pos="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гарантує, що якість ремонтних робіт відповідає затвердженим нормам якості та вимогам.</w:t>
      </w:r>
      <w:r/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термін експлуатації після проведення послуг з ремонту, протягом якого гарантується його працездатний стан за умови дотримання Замовником вимог інструкції по експлуатації.</w:t>
      </w:r>
      <w:r/>
    </w:p>
    <w:p>
      <w:pPr>
        <w:contextualSpacing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вимогу Замовника, Учасник, при надані послуг надає завірені копії документів, які засвідчують якісні, технічні характеристики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елементів</w:t>
      </w:r>
      <w:r>
        <w:rPr>
          <w:rFonts w:ascii="Times New Roman" w:hAnsi="Times New Roman" w:cs="Times New Roman"/>
          <w:sz w:val="24"/>
          <w:szCs w:val="24"/>
        </w:rPr>
        <w:t xml:space="preserve">, його походження (сертифікатів відповідності; паспортів якості; технічних паспортів, санітарно-епідеміологічних та гігієнічних висновків та/або інших відповідних документів передбачених законодавством для елементів даного типу).</w:t>
      </w:r>
      <w:r/>
    </w:p>
    <w:p>
      <w:pPr>
        <w:contextualSpacing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включити у вартість послуг матеріали, устаткування та запасні частини необхідні для виконання послуг. </w:t>
      </w:r>
      <w:r/>
    </w:p>
    <w:p>
      <w:pPr>
        <w:ind w:left="284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щодо якості надання послуг:</w:t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numPr>
          <w:ilvl w:val="1"/>
          <w:numId w:val="44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Послуги з ремонту повинні забезпечувати безвідмовну роботу комплексів «КАСКАД».</w:t>
      </w:r>
      <w:r/>
    </w:p>
    <w:p>
      <w:pPr>
        <w:numPr>
          <w:ilvl w:val="1"/>
          <w:numId w:val="44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гарантує якість наданих послуг протягом 12 (дванадцяти) місяців.</w:t>
      </w:r>
      <w:r/>
    </w:p>
    <w:p>
      <w:pPr>
        <w:numPr>
          <w:ilvl w:val="1"/>
          <w:numId w:val="44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виявлення недоліків по якості наданих послуг ВИКОНАВЕЦЬ повинен усунути їх за власний рахунок у термін 5 (п’ять) робочих днів від дати подання письмової заявки від ЗАМОВНИКА.</w:t>
      </w:r>
      <w:r/>
    </w:p>
    <w:p>
      <w:pPr>
        <w:numPr>
          <w:ilvl w:val="1"/>
          <w:numId w:val="44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Умови виконання робіт: в сервісному центрі та/або на місці встановлення комплексів «КАСКАД».</w:t>
      </w:r>
      <w:r/>
    </w:p>
    <w:p>
      <w:pPr>
        <w:numPr>
          <w:ilvl w:val="1"/>
          <w:numId w:val="44"/>
        </w:numPr>
        <w:contextualSpacing/>
        <w:ind w:left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Демонтаж та монтаж комплексів «КАСКАД» відбувається за рахунок Виконавця (надати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1 179 659,50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сімдесят дев’ять тисяч шістсот п’ятдесят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наданого заключення за результатами тестування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33"/>
  </w:num>
  <w:num w:numId="7">
    <w:abstractNumId w:val="10"/>
  </w:num>
  <w:num w:numId="8">
    <w:abstractNumId w:val="35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0"/>
  </w:num>
  <w:num w:numId="18">
    <w:abstractNumId w:val="38"/>
  </w:num>
  <w:num w:numId="19">
    <w:abstractNumId w:val="28"/>
  </w:num>
  <w:num w:numId="20">
    <w:abstractNumId w:val="24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8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1"/>
  </w:num>
  <w:num w:numId="31">
    <w:abstractNumId w:val="29"/>
  </w:num>
  <w:num w:numId="32">
    <w:abstractNumId w:val="31"/>
  </w:num>
  <w:num w:numId="33">
    <w:abstractNumId w:val="36"/>
  </w:num>
  <w:num w:numId="34">
    <w:abstractNumId w:val="2"/>
  </w:num>
  <w:num w:numId="35">
    <w:abstractNumId w:val="11"/>
  </w:num>
  <w:num w:numId="36">
    <w:abstractNumId w:val="15"/>
  </w:num>
  <w:num w:numId="37">
    <w:abstractNumId w:val="13"/>
  </w:num>
  <w:num w:numId="38">
    <w:abstractNumId w:val="16"/>
  </w:num>
  <w:num w:numId="39">
    <w:abstractNumId w:val="30"/>
  </w:num>
  <w:num w:numId="40">
    <w:abstractNumId w:val="3"/>
  </w:num>
  <w:num w:numId="41">
    <w:abstractNumId w:val="26"/>
  </w:num>
  <w:num w:numId="42">
    <w:abstractNumId w:val="9"/>
  </w:num>
  <w:num w:numId="43">
    <w:abstractNumId w:val="2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1"/>
    <w:link w:val="72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1"/>
    <w:link w:val="73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28"/>
    <w:next w:val="7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1"/>
    <w:link w:val="34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1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1"/>
    <w:link w:val="760"/>
    <w:uiPriority w:val="99"/>
  </w:style>
  <w:style w:type="character" w:styleId="45">
    <w:name w:val="Footer Char"/>
    <w:basedOn w:val="731"/>
    <w:link w:val="740"/>
    <w:uiPriority w:val="99"/>
  </w:style>
  <w:style w:type="character" w:styleId="47">
    <w:name w:val="Caption Char"/>
    <w:basedOn w:val="762"/>
    <w:link w:val="740"/>
    <w:uiPriority w:val="99"/>
  </w:style>
  <w:style w:type="table" w:styleId="49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1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1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rPr>
      <w:lang w:val="uk-UA"/>
    </w:rPr>
  </w:style>
  <w:style w:type="paragraph" w:styleId="729">
    <w:name w:val="Heading 1"/>
    <w:basedOn w:val="728"/>
    <w:next w:val="728"/>
    <w:link w:val="755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30">
    <w:name w:val="Heading 2"/>
    <w:basedOn w:val="728"/>
    <w:link w:val="74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>
    <w:name w:val="List Paragraph"/>
    <w:basedOn w:val="728"/>
    <w:link w:val="73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5" w:customStyle="1">
    <w:name w:val="Абзац списку Знак"/>
    <w:link w:val="734"/>
    <w:uiPriority w:val="34"/>
    <w:qFormat/>
    <w:rPr>
      <w:rFonts w:ascii="Calibri" w:hAnsi="Calibri" w:eastAsia="Calibri" w:cs="Calibri"/>
      <w:lang w:eastAsia="zh-CN"/>
    </w:rPr>
  </w:style>
  <w:style w:type="table" w:styleId="736">
    <w:name w:val="Table Grid"/>
    <w:basedOn w:val="7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Сетка таблицы2"/>
    <w:basedOn w:val="732"/>
    <w:next w:val="73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Normal (Web)"/>
    <w:basedOn w:val="728"/>
    <w:link w:val="74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9" w:customStyle="1">
    <w:name w:val="Сетка таблицы1"/>
    <w:basedOn w:val="732"/>
    <w:next w:val="73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Footer"/>
    <w:basedOn w:val="728"/>
    <w:link w:val="741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1" w:customStyle="1">
    <w:name w:val="Нижній колонтитул Знак"/>
    <w:basedOn w:val="731"/>
    <w:link w:val="740"/>
    <w:uiPriority w:val="99"/>
    <w:rPr>
      <w:rFonts w:ascii="Calibri" w:hAnsi="Calibri" w:eastAsia="Calibri" w:cs="Calibri"/>
      <w:lang w:eastAsia="zh-CN"/>
    </w:rPr>
  </w:style>
  <w:style w:type="paragraph" w:styleId="74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3">
    <w:name w:val="Hyperlink"/>
    <w:basedOn w:val="731"/>
    <w:uiPriority w:val="99"/>
    <w:unhideWhenUsed/>
    <w:rPr>
      <w:color w:val="0563c1" w:themeColor="hyperlink"/>
      <w:u w:val="single"/>
    </w:rPr>
  </w:style>
  <w:style w:type="character" w:styleId="744" w:customStyle="1">
    <w:name w:val="xfm_93972720"/>
    <w:basedOn w:val="731"/>
  </w:style>
  <w:style w:type="character" w:styleId="745" w:customStyle="1">
    <w:name w:val="Звичайний (веб) Знак"/>
    <w:link w:val="738"/>
    <w:qFormat/>
    <w:rPr>
      <w:rFonts w:ascii="Times New Roman" w:hAnsi="Times New Roman" w:cs="Times New Roman"/>
      <w:sz w:val="24"/>
      <w:szCs w:val="24"/>
      <w:lang w:val="uk-UA"/>
    </w:rPr>
  </w:style>
  <w:style w:type="paragraph" w:styleId="746">
    <w:name w:val="Body Text 2"/>
    <w:basedOn w:val="728"/>
    <w:link w:val="74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7" w:customStyle="1">
    <w:name w:val="Основний текст 2 Знак"/>
    <w:basedOn w:val="731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9" w:customStyle="1">
    <w:name w:val="Заголовок 2 Знак"/>
    <w:basedOn w:val="731"/>
    <w:link w:val="73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0">
    <w:name w:val="No Spacing"/>
    <w:link w:val="75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1" w:customStyle="1">
    <w:name w:val="Без інтервалів Знак"/>
    <w:basedOn w:val="731"/>
    <w:link w:val="750"/>
    <w:uiPriority w:val="1"/>
    <w:rPr>
      <w:rFonts w:ascii="Calibri" w:hAnsi="Calibri" w:eastAsia="Calibri" w:cs="Times New Roman"/>
      <w:lang w:val="uk-UA"/>
    </w:rPr>
  </w:style>
  <w:style w:type="character" w:styleId="752" w:customStyle="1">
    <w:name w:val="Другое_"/>
    <w:basedOn w:val="731"/>
    <w:link w:val="753"/>
    <w:rPr>
      <w:rFonts w:ascii="Calibri" w:hAnsi="Calibri" w:eastAsia="Calibri" w:cs="Calibri"/>
      <w:sz w:val="20"/>
      <w:szCs w:val="20"/>
    </w:rPr>
  </w:style>
  <w:style w:type="paragraph" w:styleId="753" w:customStyle="1">
    <w:name w:val="Другое"/>
    <w:basedOn w:val="728"/>
    <w:link w:val="752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54" w:customStyle="1">
    <w:name w:val="xfmc1"/>
    <w:basedOn w:val="731"/>
  </w:style>
  <w:style w:type="character" w:styleId="755" w:customStyle="1">
    <w:name w:val="Заголовок 1 Знак"/>
    <w:basedOn w:val="731"/>
    <w:link w:val="729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756">
    <w:name w:val="FollowedHyperlink"/>
    <w:basedOn w:val="731"/>
    <w:uiPriority w:val="99"/>
    <w:semiHidden/>
    <w:unhideWhenUsed/>
    <w:rPr>
      <w:color w:val="954f72" w:themeColor="followedHyperlink"/>
      <w:u w:val="single"/>
    </w:rPr>
  </w:style>
  <w:style w:type="paragraph" w:styleId="757" w:customStyle="1">
    <w:name w:val="msonormal"/>
    <w:basedOn w:val="728"/>
    <w:uiPriority w:val="99"/>
    <w:qFormat/>
    <w:pPr>
      <w:spacing w:after="120" w:line="480" w:lineRule="auto"/>
    </w:pPr>
    <w:rPr>
      <w:rFonts w:ascii="Cambria" w:hAnsi="Cambria"/>
    </w:rPr>
  </w:style>
  <w:style w:type="paragraph" w:styleId="758">
    <w:name w:val="annotation text"/>
    <w:basedOn w:val="728"/>
    <w:link w:val="759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759" w:customStyle="1">
    <w:name w:val="Текст примітки Знак"/>
    <w:basedOn w:val="731"/>
    <w:link w:val="758"/>
    <w:uiPriority w:val="99"/>
    <w:rPr>
      <w:sz w:val="20"/>
      <w:szCs w:val="20"/>
      <w:lang w:val="uk-UA"/>
    </w:rPr>
  </w:style>
  <w:style w:type="paragraph" w:styleId="760">
    <w:name w:val="Header"/>
    <w:basedOn w:val="728"/>
    <w:link w:val="761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61" w:customStyle="1">
    <w:name w:val="Верхній колонтитул Знак"/>
    <w:basedOn w:val="731"/>
    <w:link w:val="760"/>
    <w:uiPriority w:val="99"/>
    <w:rPr>
      <w:lang w:val="uk-UA"/>
    </w:rPr>
  </w:style>
  <w:style w:type="paragraph" w:styleId="762">
    <w:name w:val="Caption"/>
    <w:basedOn w:val="728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763">
    <w:name w:val="Body Text"/>
    <w:basedOn w:val="728"/>
    <w:link w:val="764"/>
    <w:uiPriority w:val="1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4" w:customStyle="1">
    <w:name w:val="Основний текст Знак"/>
    <w:basedOn w:val="731"/>
    <w:link w:val="763"/>
    <w:uiPriority w:val="1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765">
    <w:name w:val="List"/>
    <w:basedOn w:val="763"/>
    <w:unhideWhenUsed/>
    <w:qFormat/>
    <w:rPr>
      <w:rFonts w:cs="FreeSans"/>
    </w:rPr>
  </w:style>
  <w:style w:type="paragraph" w:styleId="766">
    <w:name w:val="Body Text Indent"/>
    <w:basedOn w:val="763"/>
    <w:link w:val="767"/>
    <w:uiPriority w:val="99"/>
    <w:semiHidden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767" w:customStyle="1">
    <w:name w:val="Основний текст з відступом Знак"/>
    <w:basedOn w:val="731"/>
    <w:link w:val="766"/>
    <w:uiPriority w:val="99"/>
    <w:semiHidden/>
    <w:rPr>
      <w:rFonts w:asciiTheme="majorHAnsi" w:hAnsiTheme="majorHAnsi" w:eastAsiaTheme="majorEastAsia"/>
      <w:sz w:val="32"/>
      <w:szCs w:val="32"/>
      <w:lang w:val="uk-UA"/>
    </w:rPr>
  </w:style>
  <w:style w:type="paragraph" w:styleId="768">
    <w:name w:val="annotation subject"/>
    <w:basedOn w:val="758"/>
    <w:next w:val="758"/>
    <w:link w:val="769"/>
    <w:uiPriority w:val="99"/>
    <w:semiHidden/>
    <w:unhideWhenUsed/>
    <w:qFormat/>
    <w:rPr>
      <w:b/>
      <w:bCs/>
    </w:rPr>
  </w:style>
  <w:style w:type="character" w:styleId="769" w:customStyle="1">
    <w:name w:val="Тема примітки Знак"/>
    <w:basedOn w:val="759"/>
    <w:link w:val="768"/>
    <w:uiPriority w:val="99"/>
    <w:semiHidden/>
    <w:rPr>
      <w:b/>
      <w:bCs/>
      <w:sz w:val="20"/>
      <w:szCs w:val="20"/>
      <w:lang w:val="uk-UA"/>
    </w:rPr>
  </w:style>
  <w:style w:type="paragraph" w:styleId="770">
    <w:name w:val="Balloon Text"/>
    <w:basedOn w:val="728"/>
    <w:link w:val="77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1" w:customStyle="1">
    <w:name w:val="Текст у виносці Знак"/>
    <w:basedOn w:val="731"/>
    <w:link w:val="770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772" w:customStyle="1">
    <w:name w:val="Table Paragraph"/>
    <w:basedOn w:val="728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73" w:customStyle="1">
    <w:name w:val="Heading"/>
    <w:basedOn w:val="728"/>
    <w:next w:val="763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774" w:customStyle="1">
    <w:name w:val="Index"/>
    <w:basedOn w:val="728"/>
    <w:qFormat/>
    <w:pPr>
      <w:spacing w:line="256" w:lineRule="auto"/>
      <w:suppressLineNumbers/>
    </w:pPr>
    <w:rPr>
      <w:rFonts w:cs="FreeSans"/>
    </w:rPr>
  </w:style>
  <w:style w:type="paragraph" w:styleId="775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76" w:customStyle="1">
    <w:name w:val="Основной текст (2)_"/>
    <w:basedOn w:val="731"/>
    <w:link w:val="777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77" w:customStyle="1">
    <w:name w:val="Основной текст (2)"/>
    <w:basedOn w:val="728"/>
    <w:link w:val="776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78" w:customStyle="1">
    <w:name w:val="Основной текст (3)_"/>
    <w:basedOn w:val="731"/>
    <w:link w:val="779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79" w:customStyle="1">
    <w:name w:val="Основной текст (3)"/>
    <w:basedOn w:val="728"/>
    <w:link w:val="778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80">
    <w:name w:val="annotation reference"/>
    <w:basedOn w:val="731"/>
    <w:uiPriority w:val="99"/>
    <w:semiHidden/>
    <w:unhideWhenUsed/>
    <w:qFormat/>
    <w:rPr>
      <w:sz w:val="16"/>
      <w:szCs w:val="16"/>
    </w:rPr>
  </w:style>
  <w:style w:type="character" w:styleId="781" w:customStyle="1">
    <w:name w:val="Основной текст Знак"/>
    <w:basedOn w:val="731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82" w:customStyle="1">
    <w:name w:val="Internet Link"/>
    <w:basedOn w:val="731"/>
    <w:uiPriority w:val="99"/>
    <w:semiHidden/>
    <w:rPr>
      <w:color w:val="0000ff"/>
      <w:u w:val="single"/>
    </w:rPr>
  </w:style>
  <w:style w:type="character" w:styleId="783" w:customStyle="1">
    <w:name w:val="Текст выноски Знак"/>
    <w:basedOn w:val="731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84" w:customStyle="1">
    <w:name w:val="Текст примечания Знак"/>
    <w:basedOn w:val="731"/>
    <w:uiPriority w:val="99"/>
    <w:semiHidden/>
    <w:qFormat/>
    <w:rPr>
      <w:sz w:val="20"/>
      <w:szCs w:val="20"/>
    </w:rPr>
  </w:style>
  <w:style w:type="character" w:styleId="785" w:customStyle="1">
    <w:name w:val="Тема примечания Знак"/>
    <w:basedOn w:val="784"/>
    <w:uiPriority w:val="99"/>
    <w:semiHidden/>
    <w:qFormat/>
    <w:rPr>
      <w:b/>
      <w:bCs/>
      <w:sz w:val="20"/>
      <w:szCs w:val="20"/>
    </w:rPr>
  </w:style>
  <w:style w:type="character" w:styleId="786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87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88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89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90" w:customStyle="1">
    <w:name w:val="ListLabel 5"/>
    <w:qFormat/>
    <w:rPr>
      <w:sz w:val="27"/>
    </w:rPr>
  </w:style>
  <w:style w:type="character" w:styleId="791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92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93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94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95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96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97" w:customStyle="1">
    <w:name w:val="ListLabel 12"/>
    <w:qFormat/>
    <w:rPr>
      <w:rFonts w:hint="default" w:ascii="Times New Roman" w:hAnsi="Times New Roman" w:cs="Symbol"/>
      <w:sz w:val="25"/>
    </w:rPr>
  </w:style>
  <w:style w:type="character" w:styleId="798" w:customStyle="1">
    <w:name w:val="ListLabel 13"/>
    <w:qFormat/>
    <w:rPr>
      <w:rFonts w:hint="default" w:ascii="Courier New" w:hAnsi="Courier New" w:cs="Courier New"/>
    </w:rPr>
  </w:style>
  <w:style w:type="character" w:styleId="799" w:customStyle="1">
    <w:name w:val="ListLabel 14"/>
    <w:qFormat/>
    <w:rPr>
      <w:rFonts w:hint="default" w:ascii="Wingdings" w:hAnsi="Wingdings" w:cs="Wingdings"/>
    </w:rPr>
  </w:style>
  <w:style w:type="character" w:styleId="800" w:customStyle="1">
    <w:name w:val="ListLabel 15"/>
    <w:qFormat/>
    <w:rPr>
      <w:rFonts w:hint="default" w:ascii="Symbol" w:hAnsi="Symbol" w:cs="Symbol"/>
    </w:rPr>
  </w:style>
  <w:style w:type="character" w:styleId="801" w:customStyle="1">
    <w:name w:val="ListLabel 16"/>
    <w:qFormat/>
    <w:rPr>
      <w:rFonts w:hint="default" w:ascii="Courier New" w:hAnsi="Courier New" w:cs="Courier New"/>
    </w:rPr>
  </w:style>
  <w:style w:type="character" w:styleId="802" w:customStyle="1">
    <w:name w:val="ListLabel 17"/>
    <w:qFormat/>
    <w:rPr>
      <w:rFonts w:hint="default" w:ascii="Wingdings" w:hAnsi="Wingdings" w:cs="Wingdings"/>
    </w:rPr>
  </w:style>
  <w:style w:type="character" w:styleId="803" w:customStyle="1">
    <w:name w:val="ListLabel 18"/>
    <w:qFormat/>
    <w:rPr>
      <w:rFonts w:hint="default" w:ascii="Symbol" w:hAnsi="Symbol" w:cs="Symbol"/>
    </w:rPr>
  </w:style>
  <w:style w:type="character" w:styleId="804" w:customStyle="1">
    <w:name w:val="ListLabel 19"/>
    <w:qFormat/>
    <w:rPr>
      <w:rFonts w:hint="default" w:ascii="Courier New" w:hAnsi="Courier New" w:cs="Courier New"/>
    </w:rPr>
  </w:style>
  <w:style w:type="character" w:styleId="805" w:customStyle="1">
    <w:name w:val="ListLabel 20"/>
    <w:qFormat/>
    <w:rPr>
      <w:rFonts w:hint="default" w:ascii="Wingdings" w:hAnsi="Wingdings" w:cs="Wingdings"/>
    </w:rPr>
  </w:style>
  <w:style w:type="character" w:styleId="806" w:customStyle="1">
    <w:name w:val="ListLabel 21"/>
    <w:qFormat/>
    <w:rPr>
      <w:i w:val="0"/>
      <w:iCs/>
    </w:rPr>
  </w:style>
  <w:style w:type="character" w:styleId="807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808" w:customStyle="1">
    <w:name w:val="ListLabel 23"/>
    <w:qFormat/>
    <w:rPr>
      <w:rFonts w:hint="default" w:ascii="Courier New" w:hAnsi="Courier New" w:cs="Courier New"/>
    </w:rPr>
  </w:style>
  <w:style w:type="character" w:styleId="809" w:customStyle="1">
    <w:name w:val="ListLabel 24"/>
    <w:qFormat/>
    <w:rPr>
      <w:rFonts w:hint="default" w:ascii="Wingdings" w:hAnsi="Wingdings" w:cs="Wingdings"/>
    </w:rPr>
  </w:style>
  <w:style w:type="character" w:styleId="810" w:customStyle="1">
    <w:name w:val="ListLabel 25"/>
    <w:qFormat/>
    <w:rPr>
      <w:rFonts w:hint="default" w:ascii="Symbol" w:hAnsi="Symbol" w:cs="Symbol"/>
    </w:rPr>
  </w:style>
  <w:style w:type="character" w:styleId="811" w:customStyle="1">
    <w:name w:val="ListLabel 26"/>
    <w:qFormat/>
    <w:rPr>
      <w:rFonts w:hint="default" w:ascii="Courier New" w:hAnsi="Courier New" w:cs="Courier New"/>
    </w:rPr>
  </w:style>
  <w:style w:type="character" w:styleId="812" w:customStyle="1">
    <w:name w:val="ListLabel 27"/>
    <w:qFormat/>
    <w:rPr>
      <w:rFonts w:hint="default" w:ascii="Wingdings" w:hAnsi="Wingdings" w:cs="Wingdings"/>
    </w:rPr>
  </w:style>
  <w:style w:type="character" w:styleId="813" w:customStyle="1">
    <w:name w:val="ListLabel 28"/>
    <w:qFormat/>
    <w:rPr>
      <w:rFonts w:hint="default" w:ascii="Symbol" w:hAnsi="Symbol" w:cs="Symbol"/>
    </w:rPr>
  </w:style>
  <w:style w:type="character" w:styleId="814" w:customStyle="1">
    <w:name w:val="ListLabel 29"/>
    <w:qFormat/>
    <w:rPr>
      <w:rFonts w:hint="default" w:ascii="Courier New" w:hAnsi="Courier New" w:cs="Courier New"/>
    </w:rPr>
  </w:style>
  <w:style w:type="character" w:styleId="815" w:customStyle="1">
    <w:name w:val="ListLabel 30"/>
    <w:qFormat/>
    <w:rPr>
      <w:rFonts w:hint="default" w:ascii="Wingdings" w:hAnsi="Wingdings" w:cs="Wingdings"/>
    </w:rPr>
  </w:style>
  <w:style w:type="character" w:styleId="816" w:customStyle="1">
    <w:name w:val="ListLabel 31"/>
    <w:qFormat/>
    <w:rPr>
      <w:rFonts w:hint="default" w:ascii="Times New Roman" w:hAnsi="Times New Roman" w:cs="Symbol"/>
      <w:sz w:val="24"/>
    </w:rPr>
  </w:style>
  <w:style w:type="character" w:styleId="817" w:customStyle="1">
    <w:name w:val="ListLabel 32"/>
    <w:qFormat/>
    <w:rPr>
      <w:rFonts w:hint="default" w:ascii="Courier New" w:hAnsi="Courier New" w:cs="Courier New"/>
    </w:rPr>
  </w:style>
  <w:style w:type="character" w:styleId="818" w:customStyle="1">
    <w:name w:val="ListLabel 33"/>
    <w:qFormat/>
    <w:rPr>
      <w:rFonts w:hint="default" w:ascii="Wingdings" w:hAnsi="Wingdings" w:cs="Wingdings"/>
    </w:rPr>
  </w:style>
  <w:style w:type="character" w:styleId="819" w:customStyle="1">
    <w:name w:val="ListLabel 34"/>
    <w:qFormat/>
    <w:rPr>
      <w:rFonts w:hint="default" w:ascii="Symbol" w:hAnsi="Symbol" w:cs="Symbol"/>
    </w:rPr>
  </w:style>
  <w:style w:type="character" w:styleId="820" w:customStyle="1">
    <w:name w:val="ListLabel 35"/>
    <w:qFormat/>
    <w:rPr>
      <w:rFonts w:hint="default" w:ascii="Courier New" w:hAnsi="Courier New" w:cs="Courier New"/>
    </w:rPr>
  </w:style>
  <w:style w:type="character" w:styleId="821" w:customStyle="1">
    <w:name w:val="ListLabel 36"/>
    <w:qFormat/>
    <w:rPr>
      <w:rFonts w:hint="default" w:ascii="Wingdings" w:hAnsi="Wingdings" w:cs="Wingdings"/>
    </w:rPr>
  </w:style>
  <w:style w:type="character" w:styleId="822" w:customStyle="1">
    <w:name w:val="ListLabel 37"/>
    <w:qFormat/>
    <w:rPr>
      <w:rFonts w:hint="default" w:ascii="Symbol" w:hAnsi="Symbol" w:cs="Symbol"/>
    </w:rPr>
  </w:style>
  <w:style w:type="character" w:styleId="823" w:customStyle="1">
    <w:name w:val="ListLabel 38"/>
    <w:qFormat/>
    <w:rPr>
      <w:rFonts w:hint="default" w:ascii="Courier New" w:hAnsi="Courier New" w:cs="Courier New"/>
    </w:rPr>
  </w:style>
  <w:style w:type="character" w:styleId="824" w:customStyle="1">
    <w:name w:val="ListLabel 39"/>
    <w:qFormat/>
    <w:rPr>
      <w:rFonts w:hint="default" w:ascii="Wingdings" w:hAnsi="Wingdings" w:cs="Wingdings"/>
    </w:rPr>
  </w:style>
  <w:style w:type="character" w:styleId="825" w:customStyle="1">
    <w:name w:val="ListLabel 40"/>
    <w:qFormat/>
    <w:rPr>
      <w:sz w:val="20"/>
    </w:rPr>
  </w:style>
  <w:style w:type="character" w:styleId="826" w:customStyle="1">
    <w:name w:val="ListLabel 41"/>
    <w:qFormat/>
    <w:rPr>
      <w:sz w:val="20"/>
    </w:rPr>
  </w:style>
  <w:style w:type="character" w:styleId="827" w:customStyle="1">
    <w:name w:val="ListLabel 42"/>
    <w:qFormat/>
    <w:rPr>
      <w:sz w:val="20"/>
    </w:rPr>
  </w:style>
  <w:style w:type="character" w:styleId="828" w:customStyle="1">
    <w:name w:val="ListLabel 43"/>
    <w:qFormat/>
    <w:rPr>
      <w:sz w:val="20"/>
    </w:rPr>
  </w:style>
  <w:style w:type="character" w:styleId="829" w:customStyle="1">
    <w:name w:val="ListLabel 44"/>
    <w:qFormat/>
    <w:rPr>
      <w:sz w:val="20"/>
    </w:rPr>
  </w:style>
  <w:style w:type="character" w:styleId="830" w:customStyle="1">
    <w:name w:val="ListLabel 45"/>
    <w:qFormat/>
    <w:rPr>
      <w:sz w:val="20"/>
    </w:rPr>
  </w:style>
  <w:style w:type="character" w:styleId="831" w:customStyle="1">
    <w:name w:val="ListLabel 46"/>
    <w:qFormat/>
    <w:rPr>
      <w:sz w:val="20"/>
    </w:rPr>
  </w:style>
  <w:style w:type="character" w:styleId="832" w:customStyle="1">
    <w:name w:val="ListLabel 47"/>
    <w:qFormat/>
    <w:rPr>
      <w:sz w:val="20"/>
    </w:rPr>
  </w:style>
  <w:style w:type="character" w:styleId="833" w:customStyle="1">
    <w:name w:val="ListLabel 48"/>
    <w:qFormat/>
    <w:rPr>
      <w:sz w:val="20"/>
    </w:rPr>
  </w:style>
  <w:style w:type="character" w:styleId="834" w:customStyle="1">
    <w:name w:val="ListLabel 49"/>
    <w:qFormat/>
    <w:rPr>
      <w:rFonts w:hint="default" w:ascii="Courier New" w:hAnsi="Courier New" w:cs="Courier New"/>
    </w:rPr>
  </w:style>
  <w:style w:type="character" w:styleId="835" w:customStyle="1">
    <w:name w:val="ListLabel 50"/>
    <w:qFormat/>
    <w:rPr>
      <w:rFonts w:hint="default" w:ascii="Courier New" w:hAnsi="Courier New" w:cs="Courier New"/>
    </w:rPr>
  </w:style>
  <w:style w:type="character" w:styleId="836" w:customStyle="1">
    <w:name w:val="ListLabel 51"/>
    <w:qFormat/>
    <w:rPr>
      <w:rFonts w:hint="default" w:ascii="Courier New" w:hAnsi="Courier New" w:cs="Courier New"/>
    </w:rPr>
  </w:style>
  <w:style w:type="character" w:styleId="837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838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839" w:customStyle="1">
    <w:name w:val="Основной текст Знак1"/>
    <w:basedOn w:val="731"/>
    <w:qFormat/>
    <w:rPr>
      <w:rFonts w:hint="default" w:ascii="Times New Roman" w:hAnsi="Times New Roman" w:cs="Times New Roman"/>
      <w:color w:val="00000a"/>
      <w:lang w:val="ru-RU"/>
    </w:rPr>
  </w:style>
  <w:style w:type="character" w:styleId="840" w:customStyle="1">
    <w:name w:val="Красная строка Знак"/>
    <w:basedOn w:val="839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841" w:customStyle="1">
    <w:name w:val="Верхний колонтитул Знак"/>
    <w:basedOn w:val="731"/>
    <w:uiPriority w:val="99"/>
    <w:qFormat/>
  </w:style>
  <w:style w:type="character" w:styleId="842" w:customStyle="1">
    <w:name w:val="Нижний колонтитул Знак"/>
    <w:basedOn w:val="731"/>
    <w:uiPriority w:val="99"/>
    <w:qFormat/>
  </w:style>
  <w:style w:type="character" w:styleId="843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844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845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846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847" w:customStyle="1">
    <w:name w:val="ListLabel 57"/>
    <w:qFormat/>
    <w:rPr>
      <w:rFonts w:hint="default" w:ascii="Symbol" w:hAnsi="Symbol" w:cs="Symbol"/>
      <w:sz w:val="25"/>
    </w:rPr>
  </w:style>
  <w:style w:type="character" w:styleId="848" w:customStyle="1">
    <w:name w:val="ListLabel 58"/>
    <w:qFormat/>
    <w:rPr>
      <w:rFonts w:hint="default" w:ascii="Courier New" w:hAnsi="Courier New" w:cs="Courier New"/>
    </w:rPr>
  </w:style>
  <w:style w:type="character" w:styleId="849" w:customStyle="1">
    <w:name w:val="ListLabel 59"/>
    <w:qFormat/>
    <w:rPr>
      <w:rFonts w:hint="default" w:ascii="Wingdings" w:hAnsi="Wingdings" w:cs="Wingdings"/>
    </w:rPr>
  </w:style>
  <w:style w:type="character" w:styleId="850" w:customStyle="1">
    <w:name w:val="ListLabel 60"/>
    <w:qFormat/>
    <w:rPr>
      <w:rFonts w:hint="default" w:ascii="Symbol" w:hAnsi="Symbol" w:cs="Symbol"/>
    </w:rPr>
  </w:style>
  <w:style w:type="character" w:styleId="851" w:customStyle="1">
    <w:name w:val="ListLabel 61"/>
    <w:qFormat/>
    <w:rPr>
      <w:rFonts w:hint="default" w:ascii="Courier New" w:hAnsi="Courier New" w:cs="Courier New"/>
    </w:rPr>
  </w:style>
  <w:style w:type="character" w:styleId="852" w:customStyle="1">
    <w:name w:val="ListLabel 62"/>
    <w:qFormat/>
    <w:rPr>
      <w:rFonts w:hint="default" w:ascii="Wingdings" w:hAnsi="Wingdings" w:cs="Wingdings"/>
    </w:rPr>
  </w:style>
  <w:style w:type="character" w:styleId="853" w:customStyle="1">
    <w:name w:val="ListLabel 63"/>
    <w:qFormat/>
    <w:rPr>
      <w:rFonts w:hint="default" w:ascii="Symbol" w:hAnsi="Symbol" w:cs="Symbol"/>
    </w:rPr>
  </w:style>
  <w:style w:type="character" w:styleId="854" w:customStyle="1">
    <w:name w:val="ListLabel 64"/>
    <w:qFormat/>
    <w:rPr>
      <w:rFonts w:hint="default" w:ascii="Courier New" w:hAnsi="Courier New" w:cs="Courier New"/>
    </w:rPr>
  </w:style>
  <w:style w:type="character" w:styleId="855" w:customStyle="1">
    <w:name w:val="ListLabel 65"/>
    <w:qFormat/>
    <w:rPr>
      <w:rFonts w:hint="default" w:ascii="Wingdings" w:hAnsi="Wingdings" w:cs="Wingdings"/>
    </w:rPr>
  </w:style>
  <w:style w:type="character" w:styleId="856" w:customStyle="1">
    <w:name w:val="ListLabel 66"/>
    <w:qFormat/>
    <w:rPr>
      <w:b/>
      <w:bCs w:val="0"/>
    </w:rPr>
  </w:style>
  <w:style w:type="character" w:styleId="857" w:customStyle="1">
    <w:name w:val="ListLabel 67"/>
    <w:qFormat/>
    <w:rPr>
      <w:rFonts w:hint="default" w:ascii="Symbol" w:hAnsi="Symbol" w:cs="Symbol"/>
      <w:sz w:val="24"/>
    </w:rPr>
  </w:style>
  <w:style w:type="character" w:styleId="858" w:customStyle="1">
    <w:name w:val="ListLabel 68"/>
    <w:qFormat/>
    <w:rPr>
      <w:rFonts w:hint="default" w:ascii="Courier New" w:hAnsi="Courier New" w:cs="Courier New"/>
    </w:rPr>
  </w:style>
  <w:style w:type="character" w:styleId="859" w:customStyle="1">
    <w:name w:val="ListLabel 69"/>
    <w:qFormat/>
    <w:rPr>
      <w:rFonts w:hint="default" w:ascii="Wingdings" w:hAnsi="Wingdings" w:cs="Wingdings"/>
    </w:rPr>
  </w:style>
  <w:style w:type="character" w:styleId="860" w:customStyle="1">
    <w:name w:val="ListLabel 70"/>
    <w:qFormat/>
    <w:rPr>
      <w:rFonts w:hint="default" w:ascii="Symbol" w:hAnsi="Symbol" w:cs="Symbol"/>
    </w:rPr>
  </w:style>
  <w:style w:type="character" w:styleId="861" w:customStyle="1">
    <w:name w:val="ListLabel 71"/>
    <w:qFormat/>
    <w:rPr>
      <w:rFonts w:hint="default" w:ascii="Courier New" w:hAnsi="Courier New" w:cs="Courier New"/>
    </w:rPr>
  </w:style>
  <w:style w:type="character" w:styleId="862" w:customStyle="1">
    <w:name w:val="ListLabel 72"/>
    <w:qFormat/>
    <w:rPr>
      <w:rFonts w:hint="default" w:ascii="Wingdings" w:hAnsi="Wingdings" w:cs="Wingdings"/>
    </w:rPr>
  </w:style>
  <w:style w:type="character" w:styleId="863" w:customStyle="1">
    <w:name w:val="ListLabel 73"/>
    <w:qFormat/>
    <w:rPr>
      <w:rFonts w:hint="default" w:ascii="Symbol" w:hAnsi="Symbol" w:cs="Symbol"/>
    </w:rPr>
  </w:style>
  <w:style w:type="character" w:styleId="864" w:customStyle="1">
    <w:name w:val="ListLabel 74"/>
    <w:qFormat/>
    <w:rPr>
      <w:rFonts w:hint="default" w:ascii="Courier New" w:hAnsi="Courier New" w:cs="Courier New"/>
    </w:rPr>
  </w:style>
  <w:style w:type="character" w:styleId="865" w:customStyle="1">
    <w:name w:val="ListLabel 75"/>
    <w:qFormat/>
    <w:rPr>
      <w:rFonts w:hint="default" w:ascii="Wingdings" w:hAnsi="Wingdings" w:cs="Wingdings"/>
    </w:rPr>
  </w:style>
  <w:style w:type="character" w:styleId="866" w:customStyle="1">
    <w:name w:val="ListLabel 76"/>
    <w:qFormat/>
    <w:rPr>
      <w:rFonts w:hint="default" w:ascii="Courier New" w:hAnsi="Courier New" w:cs="Courier New"/>
    </w:rPr>
  </w:style>
  <w:style w:type="character" w:styleId="867" w:customStyle="1">
    <w:name w:val="ListLabel 77"/>
    <w:qFormat/>
    <w:rPr>
      <w:rFonts w:hint="default" w:ascii="Wingdings" w:hAnsi="Wingdings" w:cs="Wingdings"/>
    </w:rPr>
  </w:style>
  <w:style w:type="character" w:styleId="868" w:customStyle="1">
    <w:name w:val="ListLabel 78"/>
    <w:qFormat/>
    <w:rPr>
      <w:rFonts w:hint="default" w:ascii="Symbol" w:hAnsi="Symbol" w:cs="Symbol"/>
    </w:rPr>
  </w:style>
  <w:style w:type="character" w:styleId="869" w:customStyle="1">
    <w:name w:val="ListLabel 79"/>
    <w:qFormat/>
    <w:rPr>
      <w:rFonts w:hint="default" w:ascii="Courier New" w:hAnsi="Courier New" w:cs="Courier New"/>
    </w:rPr>
  </w:style>
  <w:style w:type="character" w:styleId="870" w:customStyle="1">
    <w:name w:val="ListLabel 80"/>
    <w:qFormat/>
    <w:rPr>
      <w:rFonts w:hint="default" w:ascii="Wingdings" w:hAnsi="Wingdings" w:cs="Wingdings"/>
    </w:rPr>
  </w:style>
  <w:style w:type="character" w:styleId="871" w:customStyle="1">
    <w:name w:val="ListLabel 81"/>
    <w:qFormat/>
    <w:rPr>
      <w:rFonts w:hint="default" w:ascii="Symbol" w:hAnsi="Symbol" w:cs="Symbol"/>
    </w:rPr>
  </w:style>
  <w:style w:type="character" w:styleId="872" w:customStyle="1">
    <w:name w:val="ListLabel 82"/>
    <w:qFormat/>
    <w:rPr>
      <w:rFonts w:hint="default" w:ascii="Courier New" w:hAnsi="Courier New" w:cs="Courier New"/>
    </w:rPr>
  </w:style>
  <w:style w:type="character" w:styleId="873" w:customStyle="1">
    <w:name w:val="ListLabel 83"/>
    <w:qFormat/>
    <w:rPr>
      <w:rFonts w:hint="default" w:ascii="Wingdings" w:hAnsi="Wingdings" w:cs="Wingdings"/>
    </w:rPr>
  </w:style>
  <w:style w:type="character" w:styleId="874" w:customStyle="1">
    <w:name w:val="ListLabel 84"/>
    <w:qFormat/>
    <w:rPr>
      <w:rFonts w:hint="default" w:ascii="Times New Roman" w:hAnsi="Times New Roman" w:cs="Symbol"/>
      <w:sz w:val="24"/>
    </w:rPr>
  </w:style>
  <w:style w:type="character" w:styleId="875" w:customStyle="1">
    <w:name w:val="ListLabel 85"/>
    <w:qFormat/>
    <w:rPr>
      <w:rFonts w:hint="default" w:ascii="Courier New" w:hAnsi="Courier New" w:cs="Courier New"/>
    </w:rPr>
  </w:style>
  <w:style w:type="character" w:styleId="876" w:customStyle="1">
    <w:name w:val="ListLabel 86"/>
    <w:qFormat/>
    <w:rPr>
      <w:rFonts w:hint="default" w:ascii="Wingdings" w:hAnsi="Wingdings" w:cs="Wingdings"/>
    </w:rPr>
  </w:style>
  <w:style w:type="character" w:styleId="877" w:customStyle="1">
    <w:name w:val="ListLabel 87"/>
    <w:qFormat/>
    <w:rPr>
      <w:rFonts w:hint="default" w:ascii="Symbol" w:hAnsi="Symbol" w:cs="Symbol"/>
    </w:rPr>
  </w:style>
  <w:style w:type="character" w:styleId="878" w:customStyle="1">
    <w:name w:val="ListLabel 88"/>
    <w:qFormat/>
    <w:rPr>
      <w:rFonts w:hint="default" w:ascii="Courier New" w:hAnsi="Courier New" w:cs="Courier New"/>
    </w:rPr>
  </w:style>
  <w:style w:type="character" w:styleId="879" w:customStyle="1">
    <w:name w:val="ListLabel 89"/>
    <w:qFormat/>
    <w:rPr>
      <w:rFonts w:hint="default" w:ascii="Wingdings" w:hAnsi="Wingdings" w:cs="Wingdings"/>
    </w:rPr>
  </w:style>
  <w:style w:type="character" w:styleId="880" w:customStyle="1">
    <w:name w:val="ListLabel 90"/>
    <w:qFormat/>
    <w:rPr>
      <w:rFonts w:hint="default" w:ascii="Symbol" w:hAnsi="Symbol" w:cs="Symbol"/>
    </w:rPr>
  </w:style>
  <w:style w:type="character" w:styleId="881" w:customStyle="1">
    <w:name w:val="ListLabel 91"/>
    <w:qFormat/>
    <w:rPr>
      <w:rFonts w:hint="default" w:ascii="Courier New" w:hAnsi="Courier New" w:cs="Courier New"/>
    </w:rPr>
  </w:style>
  <w:style w:type="character" w:styleId="882" w:customStyle="1">
    <w:name w:val="ListLabel 92"/>
    <w:qFormat/>
    <w:rPr>
      <w:rFonts w:hint="default" w:ascii="Wingdings" w:hAnsi="Wingdings" w:cs="Wingdings"/>
    </w:rPr>
  </w:style>
  <w:style w:type="character" w:styleId="883" w:customStyle="1">
    <w:name w:val="ListLabel 93"/>
    <w:qFormat/>
    <w:rPr>
      <w:b/>
      <w:bCs w:val="0"/>
    </w:rPr>
  </w:style>
  <w:style w:type="character" w:styleId="884" w:customStyle="1">
    <w:name w:val="ListLabel 94"/>
    <w:qFormat/>
    <w:rPr>
      <w:b w:val="0"/>
      <w:bCs w:val="0"/>
    </w:rPr>
  </w:style>
  <w:style w:type="character" w:styleId="885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86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87" w:customStyle="1">
    <w:name w:val="ListLabel 97"/>
    <w:qFormat/>
    <w:rPr>
      <w:sz w:val="27"/>
    </w:rPr>
  </w:style>
  <w:style w:type="character" w:styleId="888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89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90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91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92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93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94" w:customStyle="1">
    <w:name w:val="ListLabel 104"/>
    <w:qFormat/>
    <w:rPr>
      <w:rFonts w:hint="default" w:ascii="Courier New" w:hAnsi="Courier New" w:cs="Courier New"/>
    </w:rPr>
  </w:style>
  <w:style w:type="character" w:styleId="895" w:customStyle="1">
    <w:name w:val="ListLabel 105"/>
    <w:qFormat/>
    <w:rPr>
      <w:rFonts w:hint="default" w:ascii="Courier New" w:hAnsi="Courier New" w:cs="Courier New"/>
    </w:rPr>
  </w:style>
  <w:style w:type="character" w:styleId="896" w:customStyle="1">
    <w:name w:val="ListLabel 106"/>
    <w:qFormat/>
    <w:rPr>
      <w:rFonts w:hint="default" w:ascii="Courier New" w:hAnsi="Courier New" w:cs="Courier New"/>
    </w:rPr>
  </w:style>
  <w:style w:type="character" w:styleId="897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98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99" w:customStyle="1">
    <w:name w:val="Основний текст Знак1"/>
    <w:basedOn w:val="731"/>
    <w:uiPriority w:val="99"/>
    <w:semiHidden/>
  </w:style>
  <w:style w:type="paragraph" w:styleId="900">
    <w:name w:val="Body Text First Indent"/>
    <w:basedOn w:val="763"/>
    <w:link w:val="901"/>
    <w:uiPriority w:val="99"/>
    <w:semiHidden/>
    <w:unhideWhenUsed/>
    <w:pPr>
      <w:ind w:firstLine="360"/>
      <w:spacing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/>
    </w:rPr>
  </w:style>
  <w:style w:type="character" w:styleId="901" w:customStyle="1">
    <w:name w:val="Червоний рядок Знак"/>
    <w:basedOn w:val="764"/>
    <w:link w:val="900"/>
    <w:uiPriority w:val="99"/>
    <w:semiHidden/>
    <w:rPr>
      <w:rFonts w:ascii="Times New Roman" w:hAnsi="Times New Roman" w:eastAsia="Times New Roman" w:cs="Times New Roman"/>
      <w:color w:val="2e74b5" w:themeColor="accent1" w:themeShade="BF"/>
      <w:sz w:val="20"/>
      <w:szCs w:val="20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105</cp:revision>
  <dcterms:created xsi:type="dcterms:W3CDTF">2022-11-01T12:47:00Z</dcterms:created>
  <dcterms:modified xsi:type="dcterms:W3CDTF">2023-06-08T07:12:09Z</dcterms:modified>
</cp:coreProperties>
</file>