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1760739"/>
      <w:r>
        <w:rPr>
          <w:b w:val="0"/>
          <w:bCs w:val="0"/>
          <w:color w:val="000000"/>
          <w:sz w:val="24"/>
          <w:szCs w:val="24"/>
        </w:rPr>
        <w:t xml:space="preserve">Послуги з прокладання </w:t>
      </w:r>
      <w:r>
        <w:rPr>
          <w:b w:val="0"/>
          <w:bCs w:val="0"/>
          <w:sz w:val="24"/>
          <w:szCs w:val="24"/>
        </w:rPr>
        <w:t xml:space="preserve">волоконно-оптичних ліній зв’язку</w:t>
      </w:r>
      <w:r>
        <w:rPr>
          <w:b w:val="0"/>
          <w:bCs w:val="0"/>
          <w:color w:val="000000"/>
          <w:sz w:val="24"/>
          <w:szCs w:val="24"/>
        </w:rPr>
        <w:t xml:space="preserve"> за кодом CPV за ЄЗС ДК 021:2015: 72710000-0 </w:t>
      </w:r>
      <w:bookmarkEnd w:id="0"/>
      <w:r>
        <w:rPr>
          <w:b w:val="0"/>
          <w:bCs w:val="0"/>
          <w:sz w:val="24"/>
          <w:szCs w:val="24"/>
        </w:rPr>
        <w:t xml:space="preserve">Послуги у сфері локальних мереж</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8087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olor w:val="000000"/>
          <w:sz w:val="24"/>
          <w:szCs w:val="24"/>
        </w:rPr>
        <w:t xml:space="preserve">Послуги з прокладання </w:t>
      </w:r>
      <w:r>
        <w:rPr>
          <w:rFonts w:ascii="Times New Roman" w:hAnsi="Times New Roman"/>
          <w:sz w:val="24"/>
          <w:szCs w:val="24"/>
        </w:rPr>
        <w:t xml:space="preserve">волоконно-оптичних ліній зв’язку</w:t>
      </w:r>
      <w:r>
        <w:rPr>
          <w:rFonts w:ascii="Times New Roman" w:hAnsi="Times New Roman"/>
          <w:color w:val="000000"/>
          <w:sz w:val="24"/>
          <w:szCs w:val="24"/>
        </w:rPr>
        <w:t xml:space="preserve"> за кодом CPV за ЄЗС ДК 021:2015: 72710000-0 </w:t>
      </w:r>
      <w:r>
        <w:rPr>
          <w:rFonts w:ascii="Times New Roman" w:hAnsi="Times New Roman"/>
          <w:sz w:val="24"/>
          <w:szCs w:val="24"/>
        </w:rPr>
        <w:t xml:space="preserve">Послуги у сфері локальних мереж</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32"/>
          <w:szCs w:val="32"/>
          <w:lang w:eastAsia="uk-UA"/>
        </w:rPr>
      </w:pPr>
      <w:r>
        <w:rPr>
          <w:rFonts w:ascii="Times New Roman" w:hAnsi="Times New Roman"/>
          <w:b/>
          <w:sz w:val="32"/>
          <w:szCs w:val="32"/>
          <w:lang w:eastAsia="uk-UA"/>
        </w:rPr>
      </w:r>
      <w:r/>
    </w:p>
    <w:tbl>
      <w:tblPr>
        <w:tblW w:w="1031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1"/>
        <w:gridCol w:w="7346"/>
        <w:gridCol w:w="992"/>
        <w:gridCol w:w="850"/>
      </w:tblGrid>
      <w:tr>
        <w:trPr>
          <w:trHeight w:val="248"/>
        </w:trPr>
        <w:tc>
          <w:tcPr>
            <w:shd w:val="clear" w:color="auto" w:fill="auto"/>
            <w:tcW w:w="1131" w:type="dxa"/>
            <w:vAlign w:val="center"/>
            <w:textDirection w:val="lrTb"/>
            <w:noWrap/>
          </w:tcPr>
          <w:p>
            <w:pPr>
              <w:jc w:val="center"/>
              <w:rPr>
                <w:rFonts w:ascii="Times New Roman" w:hAnsi="Times New Roman"/>
                <w:b/>
                <w:bCs/>
                <w:sz w:val="20"/>
                <w:szCs w:val="20"/>
              </w:rPr>
            </w:pPr>
            <w:r>
              <w:rPr>
                <w:rFonts w:ascii="Times New Roman" w:hAnsi="Times New Roman"/>
                <w:b/>
                <w:bCs/>
                <w:sz w:val="20"/>
                <w:szCs w:val="20"/>
              </w:rPr>
              <w:t xml:space="preserve">№</w:t>
            </w:r>
            <w:r/>
          </w:p>
        </w:tc>
        <w:tc>
          <w:tcPr>
            <w:shd w:val="clear" w:color="auto" w:fill="auto"/>
            <w:tcW w:w="7346"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Найменування </w:t>
            </w:r>
            <w:r/>
          </w:p>
        </w:tc>
        <w:tc>
          <w:tcPr>
            <w:shd w:val="clear" w:color="auto" w:fill="auto"/>
            <w:tcW w:w="992"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Од. виміру</w:t>
            </w:r>
            <w:r/>
          </w:p>
        </w:tc>
        <w:tc>
          <w:tcPr>
            <w:shd w:val="clear" w:color="auto" w:fill="auto"/>
            <w:tcW w:w="850"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Кількість</w:t>
            </w:r>
            <w:r/>
          </w:p>
        </w:tc>
      </w:tr>
      <w:tr>
        <w:trPr>
          <w:trHeight w:val="339"/>
        </w:trPr>
        <w:tc>
          <w:tcPr>
            <w:shd w:val="clear" w:color="auto" w:fill="auto"/>
            <w:tcW w:w="1131" w:type="dxa"/>
            <w:vAlign w:val="center"/>
            <w:textDirection w:val="lrTb"/>
            <w:noWrap/>
          </w:tcPr>
          <w:p>
            <w:pPr>
              <w:jc w:val="center"/>
              <w:rPr>
                <w:rFonts w:ascii="Times New Roman" w:hAnsi="Times New Roman"/>
                <w:b/>
                <w:bCs/>
              </w:rPr>
            </w:pPr>
            <w:r>
              <w:rPr>
                <w:rFonts w:ascii="Times New Roman" w:hAnsi="Times New Roman"/>
                <w:b/>
                <w:bCs/>
              </w:rPr>
              <w:t xml:space="preserve">1</w:t>
            </w:r>
            <w:r/>
          </w:p>
        </w:tc>
        <w:tc>
          <w:tcPr>
            <w:shd w:val="clear" w:color="auto" w:fill="auto"/>
            <w:tcW w:w="7346" w:type="dxa"/>
            <w:textDirection w:val="lrTb"/>
            <w:noWrap w:val="false"/>
          </w:tcPr>
          <w:p>
            <w:pPr>
              <w:rPr>
                <w:rFonts w:ascii="Times New Roman" w:hAnsi="Times New Roman"/>
                <w:b/>
                <w:highlight w:val="yellow"/>
              </w:rPr>
              <w:outlineLvl w:val="1"/>
            </w:pPr>
            <w:r>
              <w:rPr>
                <w:rFonts w:ascii="Times New Roman" w:hAnsi="Times New Roman"/>
                <w:b/>
                <w:bCs/>
              </w:rPr>
              <w:t xml:space="preserve">Послуги з прокладання волоконно-оптичної лінії зв’язку за адресою: вузол «А» ЕКМ – вузол «Б» ЕКМ у м. Луцьк (підключення №1)</w:t>
            </w:r>
            <w:r/>
          </w:p>
        </w:tc>
        <w:tc>
          <w:tcPr>
            <w:shd w:val="clear" w:color="auto" w:fill="auto"/>
            <w:tcW w:w="992" w:type="dxa"/>
            <w:vAlign w:val="center"/>
            <w:textDirection w:val="lrTb"/>
            <w:noWrap w:val="false"/>
          </w:tcPr>
          <w:p>
            <w:pPr>
              <w:jc w:val="center"/>
              <w:rPr>
                <w:rFonts w:ascii="Times New Roman" w:hAnsi="Times New Roman"/>
                <w:b/>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339"/>
        </w:trPr>
        <w:tc>
          <w:tcPr>
            <w:shd w:val="clear" w:color="auto" w:fill="auto"/>
            <w:tcW w:w="1131" w:type="dxa"/>
            <w:vAlign w:val="center"/>
            <w:textDirection w:val="lrTb"/>
            <w:noWrap/>
          </w:tcPr>
          <w:p>
            <w:pPr>
              <w:jc w:val="center"/>
              <w:rPr>
                <w:rFonts w:ascii="Times New Roman" w:hAnsi="Times New Roman"/>
                <w:b/>
                <w:bCs/>
              </w:rPr>
            </w:pPr>
            <w:r>
              <w:rPr>
                <w:rFonts w:ascii="Times New Roman" w:hAnsi="Times New Roman"/>
                <w:b/>
                <w:bCs/>
              </w:rPr>
              <w:t xml:space="preserve">2</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волоконно-оптичної лінії зв’язку за адресою: вузол «А» ЕКМ – вузол «Б» ЕКМ у м. Харків (підключення №2)</w:t>
            </w:r>
            <w:r/>
          </w:p>
        </w:tc>
        <w:tc>
          <w:tcPr>
            <w:shd w:val="clear" w:color="auto" w:fill="auto"/>
            <w:tcW w:w="992" w:type="dxa"/>
            <w:vAlign w:val="center"/>
            <w:textDirection w:val="lrTb"/>
            <w:noWrap w:val="false"/>
          </w:tcPr>
          <w:p>
            <w:pPr>
              <w:jc w:val="center"/>
              <w:rPr>
                <w:rFonts w:ascii="Times New Roman" w:hAnsi="Times New Roman"/>
                <w:b/>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1131" w:type="dxa"/>
            <w:vAlign w:val="center"/>
            <w:textDirection w:val="lrTb"/>
            <w:noWrap/>
          </w:tcPr>
          <w:p>
            <w:pPr>
              <w:jc w:val="center"/>
              <w:rPr>
                <w:rFonts w:ascii="Times New Roman" w:hAnsi="Times New Roman"/>
                <w:b/>
                <w:bCs/>
              </w:rPr>
            </w:pPr>
            <w:r>
              <w:rPr>
                <w:rFonts w:ascii="Times New Roman" w:hAnsi="Times New Roman"/>
                <w:b/>
                <w:bCs/>
              </w:rPr>
              <w:t xml:space="preserve">3</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волоконно-оптичної лінії зв’язку за адресою: вузол «А» ЕКМ – вузол «Б» ЕКМ у м. Чернівці (підключення №3)</w:t>
            </w:r>
            <w:r/>
          </w:p>
        </w:tc>
        <w:tc>
          <w:tcPr>
            <w:shd w:val="clear" w:color="auto" w:fill="auto"/>
            <w:tcW w:w="992" w:type="dxa"/>
            <w:vAlign w:val="center"/>
            <w:textDirection w:val="lrTb"/>
            <w:noWrap w:val="false"/>
          </w:tcPr>
          <w:p>
            <w:pPr>
              <w:jc w:val="center"/>
              <w:rPr>
                <w:rFonts w:ascii="Times New Roman" w:hAnsi="Times New Roman"/>
                <w:b/>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bl>
    <w:p>
      <w:pPr>
        <w:rPr>
          <w:rFonts w:ascii="Times New Roman" w:hAnsi="Times New Roman"/>
          <w:b/>
          <w:sz w:val="32"/>
          <w:szCs w:val="32"/>
          <w:lang w:eastAsia="uk-UA"/>
        </w:rPr>
      </w:pPr>
      <w:r>
        <w:rPr>
          <w:rFonts w:ascii="Times New Roman" w:hAnsi="Times New Roman"/>
          <w:b/>
          <w:sz w:val="32"/>
          <w:szCs w:val="32"/>
          <w:lang w:eastAsia="uk-UA"/>
        </w:rPr>
      </w:r>
      <w:r/>
    </w:p>
    <w:p>
      <w:pPr>
        <w:jc w:val="center"/>
        <w:rPr>
          <w:rFonts w:ascii="Times New Roman" w:hAnsi="Times New Roman"/>
          <w:b/>
          <w:sz w:val="32"/>
          <w:szCs w:val="32"/>
          <w:lang w:eastAsia="uk-UA"/>
        </w:rPr>
      </w:pPr>
      <w:r>
        <w:rPr>
          <w:rFonts w:ascii="Times New Roman" w:hAnsi="Times New Roman"/>
          <w:b/>
          <w:sz w:val="32"/>
          <w:szCs w:val="32"/>
          <w:lang w:eastAsia="uk-UA"/>
        </w:rPr>
        <w:t xml:space="preserve">Технічні вимоги</w:t>
      </w:r>
      <w:r/>
    </w:p>
    <w:p>
      <w:pPr>
        <w:rPr>
          <w:rFonts w:ascii="Times New Roman" w:hAnsi="Times New Roman"/>
          <w:sz w:val="28"/>
          <w:szCs w:val="28"/>
        </w:rPr>
      </w:pPr>
      <w:r>
        <w:rPr>
          <w:rFonts w:ascii="Times New Roman" w:hAnsi="Times New Roman"/>
          <w:sz w:val="28"/>
          <w:szCs w:val="28"/>
        </w:rPr>
      </w:r>
      <w:r/>
    </w:p>
    <w:p>
      <w:pPr>
        <w:pStyle w:val="736"/>
        <w:numPr>
          <w:ilvl w:val="0"/>
          <w:numId w:val="43"/>
        </w:numPr>
        <w:spacing w:after="0" w:line="240" w:lineRule="auto"/>
        <w:rPr>
          <w:rFonts w:ascii="Times New Roman" w:hAnsi="Times New Roman"/>
          <w:sz w:val="24"/>
          <w:szCs w:val="24"/>
        </w:rPr>
      </w:pPr>
      <w:r>
        <w:rPr>
          <w:rFonts w:ascii="Times New Roman" w:hAnsi="Times New Roman"/>
          <w:sz w:val="24"/>
          <w:szCs w:val="24"/>
        </w:rPr>
        <w:t xml:space="preserve">Орієнтовний обсяг робіт:</w:t>
      </w:r>
      <w:r/>
    </w:p>
    <w:tbl>
      <w:tblPr>
        <w:tblStyle w:val="738"/>
        <w:tblW w:w="0" w:type="auto"/>
        <w:tblInd w:w="-431" w:type="dxa"/>
        <w:tblLook w:val="04A0" w:firstRow="1" w:lastRow="0" w:firstColumn="1" w:lastColumn="0" w:noHBand="0" w:noVBand="1"/>
      </w:tblPr>
      <w:tblGrid>
        <w:gridCol w:w="568"/>
        <w:gridCol w:w="6802"/>
        <w:gridCol w:w="1559"/>
        <w:gridCol w:w="1129"/>
      </w:tblGrid>
      <w:tr>
        <w:trPr/>
        <w:tc>
          <w:tcPr>
            <w:shd w:val="clear" w:color="auto" w:fill="auto"/>
            <w:tcW w:w="568" w:type="dxa"/>
            <w:textDirection w:val="lrTb"/>
            <w:noWrap w:val="false"/>
          </w:tcPr>
          <w:p>
            <w:pPr>
              <w:pStyle w:val="736"/>
              <w:ind w:left="0"/>
              <w:rPr>
                <w:rFonts w:ascii="Times New Roman" w:hAnsi="Times New Roman"/>
                <w:sz w:val="24"/>
                <w:szCs w:val="24"/>
              </w:rPr>
            </w:pPr>
            <w:r/>
            <w:bookmarkStart w:id="1" w:name="_Hlk163562440"/>
            <w:r>
              <w:rPr>
                <w:rFonts w:ascii="Times New Roman" w:hAnsi="Times New Roman"/>
                <w:sz w:val="24"/>
                <w:szCs w:val="24"/>
              </w:rPr>
              <w:t xml:space="preserve">№ з/п</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Найменування послуг</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Один. вим.</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Кіл-ть</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w:t>
            </w:r>
            <w:r/>
          </w:p>
        </w:tc>
        <w:tc>
          <w:tcPr>
            <w:gridSpan w:val="3"/>
            <w:shd w:val="clear" w:color="auto" w:fill="auto"/>
            <w:tcW w:w="9491"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 з прокладання волоконно-оптичної лінії зв’язку за адресою: вузол «А» ЕКМ – вузол «Б» ЕКМ у м. Луцьк (підключення №1)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1.1</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Проектно-вишукувальні 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800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1.2</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 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800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1.3</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 кабелю в кабельній 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570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1.4</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 кабелю по 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1.5</w:t>
            </w:r>
            <w:r/>
          </w:p>
        </w:tc>
        <w:tc>
          <w:tcPr>
            <w:shd w:val="clear" w:color="auto" w:fill="auto"/>
            <w:tcW w:w="6803"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1.6</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 оптичних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72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1.7</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 оптичних параметрів ВОК (комплексне вимірювання волоконно-оптичних з’єднань)</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bookmarkEnd w:id="1"/>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c>
          <w:tcPr>
            <w:gridSpan w:val="3"/>
            <w:shd w:val="clear" w:color="auto" w:fill="auto"/>
            <w:tcW w:w="9491"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 з прокладання волоконно-оптичної лінії зв’язку за адресою: вузол «А» ЕКМ – вузол «Б» ЕКМ у м. Харків (підключення №2)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2.1</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Проектно-вишукувальні 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1720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2.2</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 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1720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 кабелю в кабельній 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1210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 кабелю по 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510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2.5</w:t>
            </w:r>
            <w:r/>
          </w:p>
        </w:tc>
        <w:tc>
          <w:tcPr>
            <w:shd w:val="clear" w:color="auto" w:fill="auto"/>
            <w:tcW w:w="6803"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2.6</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 оптичних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72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2.7</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 оптичних параметрів ВОК (комплексне вимірювання волоконно-оптичних з’єднань)</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w:t>
            </w:r>
            <w:r/>
          </w:p>
        </w:tc>
        <w:tc>
          <w:tcPr>
            <w:gridSpan w:val="3"/>
            <w:shd w:val="clear" w:color="auto" w:fill="auto"/>
            <w:tcW w:w="9491"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 з прокладання волоконно-оптичної лінії зв’язку за адресою: вузол «А» ЕКМ – вузол «Б» ЕКМ у м. Чернівці (підключення №3)</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3.1</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Проектно-вишукувальні 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3274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3.2</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 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3274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3.3</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 кабелю в кабельній 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3064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3.4</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 кабелю по 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210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3.5</w:t>
            </w:r>
            <w:r/>
          </w:p>
        </w:tc>
        <w:tc>
          <w:tcPr>
            <w:shd w:val="clear" w:color="auto" w:fill="auto"/>
            <w:tcW w:w="6803"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3.6</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 оптичних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96</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3.7</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 оптичних параметрів ВОК (комплексне вимірювання волоконно-оптичних з’єднань)</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r>
    </w:tbl>
    <w:p>
      <w:pPr>
        <w:rPr>
          <w:rFonts w:ascii="Times New Roman" w:hAnsi="Times New Roman"/>
        </w:rPr>
      </w:pPr>
      <w:r>
        <w:rPr>
          <w:rFonts w:ascii="Times New Roman" w:hAnsi="Times New Roman"/>
        </w:rPr>
      </w:r>
      <w:r/>
    </w:p>
    <w:p>
      <w:pPr>
        <w:pStyle w:val="736"/>
        <w:numPr>
          <w:ilvl w:val="0"/>
          <w:numId w:val="43"/>
        </w:numPr>
        <w:spacing w:after="0" w:line="240" w:lineRule="auto"/>
        <w:rPr>
          <w:rFonts w:ascii="Times New Roman" w:hAnsi="Times New Roman"/>
          <w:sz w:val="24"/>
          <w:szCs w:val="24"/>
        </w:rPr>
      </w:pPr>
      <w:r>
        <w:rPr>
          <w:rFonts w:ascii="Times New Roman" w:hAnsi="Times New Roman"/>
          <w:sz w:val="24"/>
          <w:szCs w:val="24"/>
        </w:rPr>
        <w:t xml:space="preserve">Орієнтовний обсяг матеріалів тощо:</w:t>
      </w:r>
      <w:r/>
    </w:p>
    <w:tbl>
      <w:tblPr>
        <w:tblStyle w:val="738"/>
        <w:tblW w:w="0" w:type="auto"/>
        <w:tblInd w:w="-431" w:type="dxa"/>
        <w:tblLook w:val="04A0" w:firstRow="1" w:lastRow="0" w:firstColumn="1" w:lastColumn="0" w:noHBand="0" w:noVBand="1"/>
      </w:tblPr>
      <w:tblGrid>
        <w:gridCol w:w="568"/>
        <w:gridCol w:w="6802"/>
        <w:gridCol w:w="1559"/>
        <w:gridCol w:w="1129"/>
      </w:tblGrid>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 з/п</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Найменування матеріалів</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Один. вим.</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Кіл-ть</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w:t>
            </w:r>
            <w:r/>
          </w:p>
        </w:tc>
        <w:tc>
          <w:tcPr>
            <w:gridSpan w:val="3"/>
            <w:shd w:val="clear" w:color="auto" w:fill="auto"/>
            <w:tcW w:w="9491"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 з прокладання волоконно-оптичної лінії зв’язку за адресою: вузол «А» ЕКМ – вузол «Б» ЕКМ у м. Луцьк (підключення №1)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1.1</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 одномодовий волоконно-оптичний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або аналогічний для прокладання в кабельну каналізацію та грунт діаметром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720</w:t>
            </w:r>
            <w:r/>
          </w:p>
        </w:tc>
      </w:tr>
      <w:tr>
        <w:trPr/>
        <w:tc>
          <w:tcPr>
            <w:shd w:val="clear" w:color="auto" w:fill="auto"/>
            <w:tcW w:w="568" w:type="dxa"/>
            <w:textDirection w:val="lrTb"/>
            <w:noWrap w:val="false"/>
          </w:tcPr>
          <w:p>
            <w:pPr>
              <w:pStyle w:val="736"/>
              <w:ind w:left="0"/>
              <w:rPr>
                <w:rFonts w:ascii="Times New Roman" w:hAnsi="Times New Roman"/>
                <w:sz w:val="24"/>
                <w:szCs w:val="24"/>
              </w:rPr>
            </w:pPr>
            <w:r/>
            <w:bookmarkStart w:id="2" w:name="_Hlk168482813"/>
            <w:r>
              <w:rPr>
                <w:rFonts w:ascii="Times New Roman" w:hAnsi="Times New Roman"/>
                <w:sz w:val="24"/>
                <w:szCs w:val="24"/>
              </w:rPr>
              <w:t xml:space="preserve">1.2</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 волоконно-оптичний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LT024-SM-25 </w:t>
            </w:r>
            <w:r>
              <w:rPr>
                <w:rFonts w:ascii="Times New Roman" w:hAnsi="Times New Roman"/>
                <w:sz w:val="24"/>
                <w:szCs w:val="24"/>
                <w:lang w:val="en-US"/>
              </w:rPr>
              <w:t xml:space="preserve">LSZH</w:t>
            </w:r>
            <w:r>
              <w:rPr>
                <w:rFonts w:ascii="Times New Roman" w:hAnsi="Times New Roman"/>
                <w:sz w:val="24"/>
                <w:szCs w:val="24"/>
              </w:rPr>
              <w:t xml:space="preserve"> або аналогічний для прокладання в будівлях не горючий</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80</w:t>
            </w:r>
            <w:r/>
          </w:p>
        </w:tc>
      </w:tr>
      <w:tr>
        <w:trPr/>
        <w:tc>
          <w:tcPr>
            <w:shd w:val="clear" w:color="auto" w:fill="auto"/>
            <w:tcW w:w="568" w:type="dxa"/>
            <w:textDirection w:val="lrTb"/>
            <w:noWrap w:val="false"/>
          </w:tcPr>
          <w:p>
            <w:pPr>
              <w:pStyle w:val="736"/>
              <w:ind w:left="0"/>
              <w:rPr>
                <w:rFonts w:ascii="Times New Roman" w:hAnsi="Times New Roman"/>
                <w:sz w:val="24"/>
                <w:szCs w:val="24"/>
              </w:rPr>
            </w:pPr>
            <w:r/>
            <w:bookmarkStart w:id="3" w:name="_Hlk163650667"/>
            <w:r/>
            <w:bookmarkEnd w:id="2"/>
            <w:r>
              <w:rPr>
                <w:rFonts w:ascii="Times New Roman" w:hAnsi="Times New Roman"/>
                <w:sz w:val="24"/>
                <w:szCs w:val="24"/>
              </w:rPr>
              <w:t xml:space="preserve">1.3</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Муфта оптична 24 волокна з касетою</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1</w:t>
            </w:r>
            <w:bookmarkEnd w:id="3"/>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1.4</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 патч-панель з адаптерами типу </w:t>
            </w:r>
            <w:r>
              <w:rPr>
                <w:rFonts w:ascii="Times New Roman" w:hAnsi="Times New Roman"/>
                <w:sz w:val="24"/>
                <w:szCs w:val="24"/>
                <w:lang w:val="en-US"/>
              </w:rPr>
              <w:t xml:space="preserve">SC</w:t>
            </w:r>
            <w:r>
              <w:rPr>
                <w:rFonts w:ascii="Times New Roman" w:hAnsi="Times New Roman"/>
                <w:sz w:val="24"/>
                <w:szCs w:val="24"/>
              </w:rPr>
              <w:t xml:space="preserve"> в повній комплектації (кількість адаптерів в залежності від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1.5</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Simplex </w:t>
            </w:r>
            <w:r>
              <w:rPr>
                <w:rFonts w:ascii="Times New Roman" w:hAnsi="Times New Roman"/>
                <w:sz w:val="24"/>
                <w:szCs w:val="24"/>
                <w:lang w:val="en-US"/>
              </w:rPr>
              <w:t xml:space="preserve">SC</w:t>
            </w:r>
            <w:r>
              <w:rPr>
                <w:rFonts w:ascii="Times New Roman" w:hAnsi="Times New Roman"/>
                <w:sz w:val="24"/>
                <w:szCs w:val="24"/>
              </w:rPr>
              <w:t xml:space="preserve"> –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SM</w:t>
            </w:r>
            <w:r>
              <w:rPr>
                <w:rFonts w:ascii="Times New Roman" w:hAnsi="Times New Roman"/>
                <w:sz w:val="24"/>
                <w:szCs w:val="24"/>
              </w:rPr>
              <w:t xml:space="preserve"> (довжина 1,5 метри)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1.6</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Simplex </w:t>
            </w:r>
            <w:r>
              <w:rPr>
                <w:rFonts w:ascii="Times New Roman" w:hAnsi="Times New Roman"/>
                <w:sz w:val="24"/>
                <w:szCs w:val="24"/>
                <w:lang w:val="en-US"/>
              </w:rPr>
              <w:t xml:space="preserve">SC</w:t>
            </w:r>
            <w:r>
              <w:rPr>
                <w:rFonts w:ascii="Times New Roman" w:hAnsi="Times New Roman"/>
                <w:sz w:val="24"/>
                <w:szCs w:val="24"/>
              </w:rPr>
              <w:t xml:space="preserve"> –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SM</w:t>
            </w:r>
            <w:r>
              <w:rPr>
                <w:rFonts w:ascii="Times New Roman" w:hAnsi="Times New Roman"/>
                <w:sz w:val="24"/>
                <w:szCs w:val="24"/>
              </w:rPr>
              <w:t xml:space="preserve"> (довжина 2 метри)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7</w:t>
            </w:r>
            <w:r/>
          </w:p>
        </w:tc>
        <w:tc>
          <w:tcPr>
            <w:shd w:val="clear" w:color="auto" w:fill="auto"/>
            <w:tcW w:w="6803" w:type="dxa"/>
            <w:textDirection w:val="lrTb"/>
            <w:noWrap w:val="false"/>
          </w:tcPr>
          <w:p>
            <w:pPr>
              <w:rPr>
                <w:rFonts w:ascii="Times New Roman" w:hAnsi="Times New Roman"/>
              </w:rPr>
            </w:pPr>
            <w:r>
              <w:rPr>
                <w:rFonts w:ascii="Times New Roman" w:hAnsi="Times New Roman"/>
              </w:rPr>
              <w:t xml:space="preserve">Симплексний одномодовий SFP- модуль 1,25</w:t>
            </w:r>
            <w:r>
              <w:rPr>
                <w:rFonts w:ascii="Times New Roman" w:hAnsi="Times New Roman"/>
                <w:lang w:val="en-US"/>
              </w:rPr>
              <w:t xml:space="preserve">Gbps</w:t>
            </w:r>
            <w:r>
              <w:rPr>
                <w:rFonts w:ascii="Times New Roman" w:hAnsi="Times New Roman"/>
              </w:rPr>
              <w:t xml:space="preserve"> з оптичним роз’ємом SC 20 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c>
          <w:tcPr>
            <w:gridSpan w:val="3"/>
            <w:shd w:val="clear" w:color="auto" w:fill="auto"/>
            <w:tcW w:w="9491"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 з прокладання волоконно-оптичної лінії зв’язку за адресою: вузол «А» ЕКМ – вузол «Б» ЕКМ у м. Харків (підключення №2)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2.1</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 одномодовий волоконно-оптичний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або аналогічний для прокладання в кабельну каналізацію та грунт діаметром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1310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2.2</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 волоконно-оптичний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LT024-SM-25 </w:t>
            </w:r>
            <w:r>
              <w:rPr>
                <w:rFonts w:ascii="Times New Roman" w:hAnsi="Times New Roman"/>
                <w:sz w:val="24"/>
                <w:szCs w:val="24"/>
                <w:lang w:val="en-US"/>
              </w:rPr>
              <w:t xml:space="preserve">LSZH</w:t>
            </w:r>
            <w:r>
              <w:rPr>
                <w:rFonts w:ascii="Times New Roman" w:hAnsi="Times New Roman"/>
                <w:sz w:val="24"/>
                <w:szCs w:val="24"/>
              </w:rPr>
              <w:t xml:space="preserve"> або аналогічний для прокладання в будівлях не горючий</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410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Муфта оптична 24 волокна з касетою</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 патч-панель 19” з адаптерами типу </w:t>
            </w:r>
            <w:r>
              <w:rPr>
                <w:rFonts w:ascii="Times New Roman" w:hAnsi="Times New Roman"/>
                <w:sz w:val="24"/>
                <w:szCs w:val="24"/>
                <w:lang w:val="en-US"/>
              </w:rPr>
              <w:t xml:space="preserve">SC</w:t>
            </w:r>
            <w:r>
              <w:rPr>
                <w:rFonts w:ascii="Times New Roman" w:hAnsi="Times New Roman"/>
                <w:sz w:val="24"/>
                <w:szCs w:val="24"/>
              </w:rPr>
              <w:t xml:space="preserve">, пігтейлами типу </w:t>
            </w:r>
            <w:r>
              <w:rPr>
                <w:rFonts w:ascii="Times New Roman" w:hAnsi="Times New Roman"/>
                <w:sz w:val="24"/>
                <w:szCs w:val="24"/>
                <w:lang w:val="en-US"/>
              </w:rPr>
              <w:t xml:space="preserve">SC</w:t>
            </w:r>
            <w:r>
              <w:rPr>
                <w:rFonts w:ascii="Times New Roman" w:hAnsi="Times New Roman"/>
                <w:sz w:val="24"/>
                <w:szCs w:val="24"/>
              </w:rPr>
              <w:t xml:space="preserve"> в повній комплектації (кількість адаптерів в залежності від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2.5</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Simplex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(довжина 1 метр)</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2.6</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Simplex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LC</w:t>
            </w:r>
            <w:r>
              <w:rPr>
                <w:rFonts w:ascii="Times New Roman" w:hAnsi="Times New Roman"/>
                <w:sz w:val="24"/>
                <w:szCs w:val="24"/>
              </w:rPr>
              <w:t xml:space="preserve"> (довжина 1 метр)</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2.7</w:t>
            </w:r>
            <w:r/>
          </w:p>
        </w:tc>
        <w:tc>
          <w:tcPr>
            <w:shd w:val="clear" w:color="auto" w:fill="auto"/>
            <w:tcW w:w="6803" w:type="dxa"/>
            <w:textDirection w:val="lrTb"/>
            <w:noWrap w:val="false"/>
          </w:tcPr>
          <w:p>
            <w:pPr>
              <w:rPr>
                <w:rFonts w:ascii="Times New Roman" w:hAnsi="Times New Roman"/>
              </w:rPr>
            </w:pPr>
            <w:r>
              <w:rPr>
                <w:rFonts w:ascii="Times New Roman" w:hAnsi="Times New Roman"/>
              </w:rPr>
              <w:t xml:space="preserve">Симплексний одномодовий SFP- модуль 1,25</w:t>
            </w:r>
            <w:r>
              <w:rPr>
                <w:rFonts w:ascii="Times New Roman" w:hAnsi="Times New Roman"/>
                <w:lang w:val="en-US"/>
              </w:rPr>
              <w:t xml:space="preserve">Gbps</w:t>
            </w:r>
            <w:r>
              <w:rPr>
                <w:rFonts w:ascii="Times New Roman" w:hAnsi="Times New Roman"/>
              </w:rPr>
              <w:t xml:space="preserve"> з оптичним роз’ємом SC 10 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w:t>
            </w:r>
            <w:r/>
          </w:p>
        </w:tc>
        <w:tc>
          <w:tcPr>
            <w:gridSpan w:val="3"/>
            <w:shd w:val="clear" w:color="auto" w:fill="auto"/>
            <w:tcW w:w="9491"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 з прокладання волоконно-оптичної лінії зв’язку за адресою: вузол «А» ЕКМ – вузол «Б» ЕКМ у м. </w:t>
            </w:r>
            <w:bookmarkStart w:id="4" w:name="_Hlk172734052"/>
            <w:r>
              <w:rPr>
                <w:rFonts w:ascii="Times New Roman" w:hAnsi="Times New Roman"/>
                <w:b/>
                <w:bCs/>
                <w:sz w:val="24"/>
                <w:szCs w:val="24"/>
              </w:rPr>
              <w:t xml:space="preserve">Чернівці </w:t>
            </w:r>
            <w:bookmarkEnd w:id="4"/>
            <w:r>
              <w:rPr>
                <w:rFonts w:ascii="Times New Roman" w:hAnsi="Times New Roman"/>
                <w:b/>
                <w:bCs/>
                <w:sz w:val="24"/>
                <w:szCs w:val="24"/>
              </w:rPr>
              <w:t xml:space="preserve">(підключення №3)</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3.1</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 одномодовий волоконно-оптичний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або аналогічний для прокладання в кабельну каналізацію та грунт діаметром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30</w:t>
            </w:r>
            <w:r>
              <w:rPr>
                <w:rFonts w:ascii="Times New Roman" w:hAnsi="Times New Roman"/>
                <w:sz w:val="24"/>
                <w:szCs w:val="24"/>
              </w:rPr>
              <w:t xml:space="preserve">6</w:t>
            </w:r>
            <w:r>
              <w:rPr>
                <w:rFonts w:ascii="Times New Roman" w:hAnsi="Times New Roman"/>
                <w:sz w:val="24"/>
                <w:szCs w:val="24"/>
                <w:lang w:val="en-US"/>
              </w:rPr>
              <w:t xml:space="preserve">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3.2</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 волоконно-оптичний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LT024-SM-25 </w:t>
            </w:r>
            <w:r>
              <w:rPr>
                <w:rFonts w:ascii="Times New Roman" w:hAnsi="Times New Roman"/>
                <w:sz w:val="24"/>
                <w:szCs w:val="24"/>
                <w:lang w:val="en-US"/>
              </w:rPr>
              <w:t xml:space="preserve">LSZH</w:t>
            </w:r>
            <w:r>
              <w:rPr>
                <w:rFonts w:ascii="Times New Roman" w:hAnsi="Times New Roman"/>
                <w:sz w:val="24"/>
                <w:szCs w:val="24"/>
              </w:rPr>
              <w:t xml:space="preserve"> або аналогічний для прокладання в будівлях не горючий</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w:t>
            </w:r>
            <w:r>
              <w:rPr>
                <w:rFonts w:ascii="Times New Roman" w:hAnsi="Times New Roman"/>
                <w:sz w:val="24"/>
                <w:szCs w:val="24"/>
              </w:rPr>
              <w:t xml:space="preserve">1</w:t>
            </w:r>
            <w:r>
              <w:rPr>
                <w:rFonts w:ascii="Times New Roman" w:hAnsi="Times New Roman"/>
                <w:sz w:val="24"/>
                <w:szCs w:val="24"/>
                <w:lang w:val="en-US"/>
              </w:rPr>
              <w:t xml:space="preserve">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3.3</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Муфта оптична 24 волокна з касетою</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3.4</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 патч-панель з адаптерами типу </w:t>
            </w:r>
            <w:r>
              <w:rPr>
                <w:rFonts w:ascii="Times New Roman" w:hAnsi="Times New Roman"/>
                <w:sz w:val="24"/>
                <w:szCs w:val="24"/>
                <w:lang w:val="en-US"/>
              </w:rPr>
              <w:t xml:space="preserve">SC</w:t>
            </w:r>
            <w:r>
              <w:rPr>
                <w:rFonts w:ascii="Times New Roman" w:hAnsi="Times New Roman"/>
                <w:sz w:val="24"/>
                <w:szCs w:val="24"/>
              </w:rPr>
              <w:t xml:space="preserve">, 19” та пігтейлами </w:t>
            </w:r>
            <w:r>
              <w:rPr>
                <w:rFonts w:ascii="Times New Roman" w:hAnsi="Times New Roman"/>
                <w:sz w:val="24"/>
                <w:szCs w:val="24"/>
                <w:lang w:val="en-US"/>
              </w:rPr>
              <w:t xml:space="preserve">SM</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повній комплектації (кількість адаптерів в залежності від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3.5</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Simplex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FC</w:t>
            </w:r>
            <w:r>
              <w:rPr>
                <w:rFonts w:ascii="Times New Roman" w:hAnsi="Times New Roman"/>
                <w:sz w:val="24"/>
                <w:szCs w:val="24"/>
              </w:rPr>
              <w:t xml:space="preserve"> (довжина 2 метри)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3.6</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Simplex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(довжина 2 метри)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3.7</w:t>
            </w:r>
            <w:r/>
          </w:p>
        </w:tc>
        <w:tc>
          <w:tcPr>
            <w:shd w:val="clear" w:color="auto" w:fill="auto"/>
            <w:tcW w:w="6803"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 патч-корд типа </w:t>
            </w:r>
            <w:r>
              <w:rPr>
                <w:rFonts w:ascii="Times New Roman" w:hAnsi="Times New Roman"/>
                <w:sz w:val="24"/>
                <w:szCs w:val="24"/>
                <w:lang w:val="en-US"/>
              </w:rPr>
              <w:t xml:space="preserve">Duplex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LC</w:t>
            </w:r>
            <w:r>
              <w:rPr>
                <w:rFonts w:ascii="Times New Roman" w:hAnsi="Times New Roman"/>
                <w:sz w:val="24"/>
                <w:szCs w:val="24"/>
              </w:rPr>
              <w:t xml:space="preserve"> (довжина 2 метри)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3.8</w:t>
            </w:r>
            <w:r/>
          </w:p>
        </w:tc>
        <w:tc>
          <w:tcPr>
            <w:shd w:val="clear" w:color="auto" w:fill="auto"/>
            <w:tcW w:w="6803" w:type="dxa"/>
            <w:textDirection w:val="lrTb"/>
            <w:noWrap w:val="false"/>
          </w:tcPr>
          <w:p>
            <w:pPr>
              <w:rPr>
                <w:rFonts w:ascii="Times New Roman" w:hAnsi="Times New Roman"/>
              </w:rPr>
            </w:pPr>
            <w:r>
              <w:rPr>
                <w:rFonts w:ascii="Times New Roman" w:hAnsi="Times New Roman"/>
              </w:rPr>
              <w:t xml:space="preserve">Симплексний одномодовий SFP- модуль 1 </w:t>
            </w:r>
            <w:r>
              <w:rPr>
                <w:rFonts w:ascii="Times New Roman" w:hAnsi="Times New Roman"/>
                <w:lang w:val="en-US"/>
              </w:rPr>
              <w:t xml:space="preserve">Gb</w:t>
            </w:r>
            <w:r>
              <w:rPr>
                <w:rFonts w:ascii="Times New Roman" w:hAnsi="Times New Roman"/>
              </w:rPr>
              <w:t xml:space="preserve"> з оптичним роз’ємом SC 10+ 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3.9</w:t>
            </w:r>
            <w:r/>
          </w:p>
        </w:tc>
        <w:tc>
          <w:tcPr>
            <w:shd w:val="clear" w:color="auto" w:fill="auto"/>
            <w:tcW w:w="6803" w:type="dxa"/>
            <w:textDirection w:val="lrTb"/>
            <w:noWrap w:val="false"/>
          </w:tcPr>
          <w:p>
            <w:pPr>
              <w:rPr>
                <w:rFonts w:ascii="Times New Roman" w:hAnsi="Times New Roman"/>
              </w:rPr>
            </w:pPr>
            <w:r>
              <w:rPr>
                <w:rFonts w:ascii="Times New Roman" w:hAnsi="Times New Roman"/>
              </w:rPr>
              <w:t xml:space="preserve">Дуплексний SFP- модуль 1,25</w:t>
            </w:r>
            <w:r>
              <w:rPr>
                <w:rFonts w:ascii="Times New Roman" w:hAnsi="Times New Roman"/>
                <w:lang w:val="en-US"/>
              </w:rPr>
              <w:t xml:space="preserve">Gbps</w:t>
            </w:r>
            <w:r>
              <w:rPr>
                <w:rFonts w:ascii="Times New Roman" w:hAnsi="Times New Roman"/>
              </w:rPr>
              <w:t xml:space="preserve"> з оптичним роз’ємом SC 1 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bl>
    <w:p>
      <w:pPr>
        <w:pStyle w:val="736"/>
        <w:ind w:left="1080"/>
        <w:rPr>
          <w:rFonts w:ascii="Times New Roman" w:hAnsi="Times New Roman"/>
          <w:sz w:val="24"/>
          <w:szCs w:val="24"/>
        </w:rPr>
      </w:pPr>
      <w:r>
        <w:rPr>
          <w:rFonts w:ascii="Times New Roman" w:hAnsi="Times New Roman"/>
          <w:sz w:val="24"/>
          <w:szCs w:val="24"/>
        </w:rPr>
      </w:r>
      <w:r/>
    </w:p>
    <w:p>
      <w:pPr>
        <w:pStyle w:val="736"/>
        <w:ind w:left="-426" w:firstLine="1134"/>
        <w:jc w:val="both"/>
        <w:rPr>
          <w:rFonts w:ascii="Times New Roman" w:hAnsi="Times New Roman"/>
          <w:sz w:val="24"/>
          <w:szCs w:val="24"/>
          <w:lang w:val="en-US"/>
        </w:rPr>
      </w:pPr>
      <w:r>
        <w:rPr>
          <w:rFonts w:ascii="Times New Roman" w:hAnsi="Times New Roman"/>
          <w:sz w:val="24"/>
          <w:szCs w:val="24"/>
        </w:rPr>
        <w:t xml:space="preserve">3. Етапи виконання:</w:t>
      </w:r>
      <w:r/>
    </w:p>
    <w:p>
      <w:pPr>
        <w:pStyle w:val="736"/>
        <w:ind w:left="-426" w:firstLine="1134"/>
        <w:jc w:val="both"/>
        <w:rPr>
          <w:rFonts w:ascii="Times New Roman" w:hAnsi="Times New Roman"/>
          <w:sz w:val="24"/>
          <w:szCs w:val="24"/>
        </w:rPr>
      </w:pPr>
      <w:r>
        <w:rPr>
          <w:rFonts w:ascii="Times New Roman" w:hAnsi="Times New Roman"/>
          <w:sz w:val="24"/>
          <w:szCs w:val="24"/>
        </w:rPr>
        <w:t xml:space="preserve">I етап - відповідно до Технічних умов, на прокладання кабелів електрозв’язку, отриманих Замовником від АТ «Укртелеком», (надаються переможцю</w:t>
      </w:r>
      <w:r>
        <w:rPr>
          <w:rFonts w:ascii="Times New Roman" w:hAnsi="Times New Roman"/>
          <w:sz w:val="24"/>
          <w:szCs w:val="24"/>
        </w:rPr>
        <w:t xml:space="preserve"> торгів) розробити проєктні документації (одностадійне проєктування - Робочий проєкт) на прокладання волоконно-оптичної лінії зв’язку (далі - ВОЛЗ) між вузлами електронно-комунікаційної мережі (далі - ЕКМ) за переліком адрес: (далі – Об’єкт) на відрізках*:</w:t>
      </w:r>
      <w:r/>
    </w:p>
    <w:p>
      <w:pPr>
        <w:pStyle w:val="736"/>
        <w:ind w:left="-426" w:firstLine="1134"/>
        <w:jc w:val="both"/>
        <w:rPr>
          <w:rFonts w:ascii="Times New Roman" w:hAnsi="Times New Roman"/>
          <w:sz w:val="24"/>
          <w:szCs w:val="24"/>
        </w:rPr>
      </w:pPr>
      <w:r>
        <w:rPr>
          <w:rFonts w:ascii="Times New Roman" w:hAnsi="Times New Roman"/>
          <w:sz w:val="24"/>
          <w:szCs w:val="24"/>
        </w:rPr>
        <w:t xml:space="preserve">вузол "А" ЕКМ - вузол "В" ЕКМ у м. Луцьк (підключення №1);</w:t>
      </w:r>
      <w:r/>
    </w:p>
    <w:p>
      <w:pPr>
        <w:pStyle w:val="736"/>
        <w:ind w:left="-426" w:firstLine="1134"/>
        <w:jc w:val="both"/>
        <w:rPr>
          <w:rFonts w:ascii="Times New Roman" w:hAnsi="Times New Roman"/>
          <w:sz w:val="24"/>
          <w:szCs w:val="24"/>
        </w:rPr>
      </w:pPr>
      <w:r>
        <w:rPr>
          <w:rFonts w:ascii="Times New Roman" w:hAnsi="Times New Roman"/>
          <w:sz w:val="24"/>
          <w:szCs w:val="24"/>
        </w:rPr>
        <w:t xml:space="preserve">вузол "А" ЕКМ - вузол "В" ЕКМ у м. Харків (підключення №2);</w:t>
      </w:r>
      <w:r/>
    </w:p>
    <w:p>
      <w:pPr>
        <w:pStyle w:val="736"/>
        <w:ind w:left="-426" w:firstLine="1134"/>
        <w:jc w:val="both"/>
        <w:rPr>
          <w:rFonts w:ascii="Times New Roman" w:hAnsi="Times New Roman"/>
          <w:sz w:val="24"/>
          <w:szCs w:val="24"/>
        </w:rPr>
      </w:pPr>
      <w:r>
        <w:rPr>
          <w:rFonts w:ascii="Times New Roman" w:hAnsi="Times New Roman"/>
          <w:sz w:val="24"/>
          <w:szCs w:val="24"/>
        </w:rPr>
        <w:t xml:space="preserve">вузол "А" ЕКМ - вузол "В" ЕКМ у м. Чернівці (підключення №3).</w:t>
      </w:r>
      <w:r/>
    </w:p>
    <w:p>
      <w:pPr>
        <w:pStyle w:val="736"/>
        <w:ind w:left="-426" w:firstLine="1134"/>
        <w:jc w:val="both"/>
        <w:rPr>
          <w:rFonts w:ascii="Times New Roman" w:hAnsi="Times New Roman"/>
          <w:sz w:val="24"/>
          <w:szCs w:val="24"/>
        </w:rPr>
      </w:pPr>
      <w:r>
        <w:rPr>
          <w:rFonts w:ascii="Times New Roman" w:hAnsi="Times New Roman"/>
          <w:sz w:val="24"/>
          <w:szCs w:val="24"/>
        </w:rPr>
      </w:r>
      <w:r/>
    </w:p>
    <w:p>
      <w:pPr>
        <w:pStyle w:val="736"/>
        <w:ind w:left="-426"/>
        <w:jc w:val="both"/>
        <w:rPr>
          <w:rFonts w:ascii="Times New Roman" w:hAnsi="Times New Roman"/>
          <w:sz w:val="24"/>
          <w:szCs w:val="24"/>
        </w:rPr>
      </w:pPr>
      <w:r>
        <w:rPr>
          <w:rFonts w:ascii="Times New Roman" w:hAnsi="Times New Roman"/>
          <w:sz w:val="24"/>
          <w:szCs w:val="24"/>
        </w:rPr>
        <w:t xml:space="preserve">та подальше узгодження проектів з відповідними підрозділами АТ «Укртелеком» та</w:t>
      </w:r>
      <w:r/>
    </w:p>
    <w:p>
      <w:pPr>
        <w:pStyle w:val="736"/>
        <w:ind w:left="-426"/>
        <w:jc w:val="both"/>
        <w:rPr>
          <w:rFonts w:ascii="Times New Roman" w:hAnsi="Times New Roman"/>
          <w:sz w:val="24"/>
          <w:szCs w:val="24"/>
        </w:rPr>
      </w:pPr>
      <w:r>
        <w:rPr>
          <w:rFonts w:ascii="Times New Roman" w:hAnsi="Times New Roman"/>
          <w:sz w:val="24"/>
          <w:szCs w:val="24"/>
        </w:rPr>
        <w:t xml:space="preserve">іншими установами (особами тощо).</w:t>
      </w:r>
      <w:r/>
    </w:p>
    <w:p>
      <w:pPr>
        <w:pStyle w:val="736"/>
        <w:ind w:left="-426" w:firstLine="113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 xml:space="preserve">Точні адреси вузлів ЕКМ відносяться до конфіденційної інформації і розголосу не підлягають. Надалі точні адреси вузлів передаються виконавцю Послуг.</w:t>
      </w:r>
      <w:r/>
    </w:p>
    <w:p>
      <w:pPr>
        <w:pStyle w:val="736"/>
        <w:ind w:left="-426" w:firstLine="1134"/>
        <w:jc w:val="both"/>
        <w:rPr>
          <w:rFonts w:ascii="Times New Roman" w:hAnsi="Times New Roman"/>
          <w:sz w:val="24"/>
          <w:szCs w:val="24"/>
        </w:rPr>
      </w:pPr>
      <w:r>
        <w:rPr>
          <w:rFonts w:ascii="Times New Roman" w:hAnsi="Times New Roman"/>
          <w:sz w:val="24"/>
          <w:szCs w:val="24"/>
        </w:rPr>
        <w:t xml:space="preserve">Робочі проекти повинні відповідати вимогам Технічних умов, ГБН В.2.2-34620942-002:2015 «Лінійно-кабельні споруди телекомунікацій. Проектування» та включати всі необхідні погодження з підрозділами АТ «Укртелеком», КП ШЕУ та іншими установами тощо.</w:t>
      </w:r>
      <w:r/>
    </w:p>
    <w:p>
      <w:pPr>
        <w:pStyle w:val="736"/>
        <w:ind w:left="-426" w:firstLine="1134"/>
        <w:jc w:val="both"/>
        <w:rPr>
          <w:rFonts w:ascii="Times New Roman" w:hAnsi="Times New Roman"/>
          <w:sz w:val="24"/>
          <w:szCs w:val="24"/>
        </w:rPr>
      </w:pPr>
      <w:r>
        <w:rPr>
          <w:rFonts w:ascii="Times New Roman" w:hAnsi="Times New Roman"/>
          <w:sz w:val="24"/>
          <w:szCs w:val="24"/>
        </w:rPr>
        <w:t xml:space="preserve">II етап - отримання дозво</w:t>
      </w:r>
      <w:r>
        <w:rPr>
          <w:rFonts w:ascii="Times New Roman" w:hAnsi="Times New Roman"/>
          <w:sz w:val="24"/>
          <w:szCs w:val="24"/>
        </w:rPr>
        <w:t xml:space="preserve">лів на право проведення робіт в підземних кабельних спорудах зв’язку (включаючи оплату АТ «Укртелеком» послуги технагляду, тощо), виконання будівельних робіт по Об’єкту згідно з розробленою проєктною документацією здійснюється Учасником за власний рахунок.</w:t>
      </w:r>
      <w:r/>
    </w:p>
    <w:p>
      <w:pPr>
        <w:pStyle w:val="736"/>
        <w:ind w:left="-426" w:firstLine="1134"/>
        <w:jc w:val="both"/>
        <w:rPr>
          <w:rFonts w:ascii="Times New Roman" w:hAnsi="Times New Roman"/>
          <w:sz w:val="24"/>
          <w:szCs w:val="24"/>
        </w:rPr>
      </w:pPr>
      <w:r>
        <w:rPr>
          <w:rFonts w:ascii="Times New Roman" w:hAnsi="Times New Roman"/>
          <w:sz w:val="24"/>
          <w:szCs w:val="24"/>
        </w:rPr>
        <w:t xml:space="preserve">Строк виконання роб</w:t>
      </w:r>
      <w:r>
        <w:rPr>
          <w:rFonts w:ascii="Times New Roman" w:hAnsi="Times New Roman"/>
          <w:sz w:val="24"/>
          <w:szCs w:val="24"/>
        </w:rPr>
        <w:t xml:space="preserve">іт з проектування Об’єкта складає не більше 50 календарних днів з моменту підписання договору (включає строк, необхідний для узгодження проекту Об’єкта з відповідними підрозділами АТ «Укртелеком», відповідними службами Замовника та іншими установами тощо).</w:t>
      </w:r>
      <w:r/>
    </w:p>
    <w:p>
      <w:pPr>
        <w:pStyle w:val="736"/>
        <w:ind w:left="-426" w:firstLine="1134"/>
        <w:jc w:val="both"/>
        <w:rPr>
          <w:rFonts w:ascii="Times New Roman" w:hAnsi="Times New Roman"/>
          <w:sz w:val="24"/>
          <w:szCs w:val="24"/>
        </w:rPr>
      </w:pPr>
      <w:r>
        <w:rPr>
          <w:rFonts w:ascii="Times New Roman" w:hAnsi="Times New Roman"/>
          <w:sz w:val="24"/>
          <w:szCs w:val="24"/>
        </w:rPr>
        <w:t xml:space="preserve">На послуги, що надаються згідно з Договором, Виконавцем встановлюється гарантійний строк, що дорівнює 12 (дванадцятьом) місяцям.</w:t>
      </w:r>
      <w:r/>
    </w:p>
    <w:p>
      <w:pPr>
        <w:pStyle w:val="736"/>
        <w:ind w:left="-426" w:firstLine="1134"/>
        <w:jc w:val="both"/>
        <w:rPr>
          <w:rFonts w:ascii="Times New Roman" w:hAnsi="Times New Roman"/>
          <w:sz w:val="24"/>
          <w:szCs w:val="24"/>
        </w:rPr>
      </w:pPr>
      <w:r>
        <w:rPr>
          <w:rFonts w:ascii="Times New Roman" w:hAnsi="Times New Roman"/>
          <w:sz w:val="24"/>
          <w:szCs w:val="24"/>
        </w:rPr>
        <w:t xml:space="preserve">Гарантійний строк обчислюється від дати підписання Сторонами Акту приймання наданих послуг по Об’єкту.</w:t>
      </w:r>
      <w:r/>
    </w:p>
    <w:p>
      <w:pPr>
        <w:pStyle w:val="736"/>
        <w:ind w:left="-426" w:firstLine="1134"/>
        <w:jc w:val="both"/>
        <w:rPr>
          <w:rFonts w:ascii="Times New Roman" w:hAnsi="Times New Roman"/>
          <w:sz w:val="24"/>
          <w:szCs w:val="24"/>
        </w:rPr>
      </w:pPr>
      <w:r>
        <w:rPr>
          <w:rFonts w:ascii="Times New Roman" w:hAnsi="Times New Roman"/>
          <w:sz w:val="24"/>
          <w:szCs w:val="24"/>
        </w:rPr>
        <w:t xml:space="preserve">Виконавець зобов’язується усунути всі дефекти, які мають вплив на працездатність збудованих ВОЛЗ, та пов’язані з дефектом її частин, вузлів, матеріалів та/або неякісним наданням послуг за Договором.</w:t>
      </w:r>
      <w:r/>
    </w:p>
    <w:p>
      <w:pPr>
        <w:pStyle w:val="736"/>
        <w:ind w:left="-426" w:firstLine="1134"/>
        <w:jc w:val="both"/>
        <w:rPr>
          <w:rFonts w:ascii="Times New Roman" w:hAnsi="Times New Roman"/>
          <w:sz w:val="24"/>
          <w:szCs w:val="24"/>
        </w:rPr>
      </w:pPr>
      <w:r>
        <w:rPr>
          <w:rFonts w:ascii="Times New Roman" w:hAnsi="Times New Roman"/>
          <w:sz w:val="24"/>
          <w:szCs w:val="24"/>
        </w:rPr>
        <w:t xml:space="preserve">Усі витрати, пов'язані з усуненням виявлених дефектів та/або наслідків неякісного виконання робіт, здійснюються за рахунок Виконавця.</w:t>
      </w:r>
      <w:r/>
    </w:p>
    <w:p>
      <w:pPr>
        <w:pStyle w:val="736"/>
        <w:ind w:left="-426" w:firstLine="1134"/>
        <w:jc w:val="both"/>
        <w:rPr>
          <w:rFonts w:ascii="Times New Roman" w:hAnsi="Times New Roman"/>
          <w:sz w:val="24"/>
          <w:szCs w:val="24"/>
        </w:rPr>
      </w:pPr>
      <w:r>
        <w:rPr>
          <w:rFonts w:ascii="Times New Roman" w:hAnsi="Times New Roman"/>
          <w:sz w:val="24"/>
          <w:szCs w:val="24"/>
        </w:rPr>
        <w:t xml:space="preserve">Термін дії гарантійних зобов'язань, протягом якого ВОЛЗ не використовувалася за призначенням через наявність дефекту, у гарантійний строк експлуатації не зараховується.</w:t>
      </w:r>
      <w:r/>
    </w:p>
    <w:p>
      <w:pPr>
        <w:pStyle w:val="736"/>
        <w:ind w:left="-426" w:firstLine="1134"/>
        <w:jc w:val="both"/>
        <w:rPr>
          <w:rFonts w:ascii="Times New Roman" w:hAnsi="Times New Roman"/>
          <w:sz w:val="24"/>
          <w:szCs w:val="24"/>
        </w:rPr>
      </w:pPr>
      <w:r>
        <w:rPr>
          <w:rFonts w:ascii="Times New Roman" w:hAnsi="Times New Roman"/>
          <w:sz w:val="24"/>
          <w:szCs w:val="24"/>
        </w:rPr>
        <w:t xml:space="preserve">Після усунення дефекту гарантійний строк експлуатації продовжується на час, витрачений на усунення дефекту.</w:t>
      </w:r>
      <w:r/>
    </w:p>
    <w:p>
      <w:pPr>
        <w:pStyle w:val="736"/>
        <w:ind w:left="-426" w:firstLine="1134"/>
        <w:jc w:val="both"/>
        <w:rPr>
          <w:rFonts w:ascii="Times New Roman" w:hAnsi="Times New Roman"/>
          <w:sz w:val="24"/>
          <w:szCs w:val="24"/>
        </w:rPr>
      </w:pPr>
      <w:r>
        <w:rPr>
          <w:rFonts w:ascii="Times New Roman" w:hAnsi="Times New Roman"/>
          <w:sz w:val="24"/>
          <w:szCs w:val="24"/>
        </w:rPr>
        <w:t xml:space="preserve">Гарантійний ремонт збудованої ВОЛЗ здійснюється Виконавцем безпосередньо по трасі її прокладення. При цьому строк гарантійного ремонту не повинен пер</w:t>
      </w:r>
      <w:r>
        <w:rPr>
          <w:rFonts w:ascii="Times New Roman" w:hAnsi="Times New Roman"/>
          <w:sz w:val="24"/>
          <w:szCs w:val="24"/>
        </w:rPr>
        <w:t xml:space="preserve">евищувати 5 (п’яти) робочих днів з дати отримання Виконавцем повідомлення про дефект. Після закінчення гарантійного ремонту Виконавець проводить вимірювання ВОЛЗ на відповідність технічних характеристик чинним нормам з наданням Замовнику відповідного Акту.</w:t>
      </w:r>
      <w:r/>
    </w:p>
    <w:p>
      <w:pPr>
        <w:pStyle w:val="736"/>
        <w:ind w:left="-426" w:firstLine="1134"/>
        <w:jc w:val="both"/>
        <w:rPr>
          <w:rFonts w:ascii="Times New Roman" w:hAnsi="Times New Roman"/>
          <w:sz w:val="24"/>
          <w:szCs w:val="24"/>
        </w:rPr>
      </w:pPr>
      <w:r>
        <w:rPr>
          <w:rFonts w:ascii="Times New Roman" w:hAnsi="Times New Roman"/>
          <w:sz w:val="24"/>
          <w:szCs w:val="24"/>
        </w:rPr>
      </w:r>
      <w:r/>
    </w:p>
    <w:p>
      <w:pPr>
        <w:pStyle w:val="736"/>
        <w:ind w:left="-426" w:firstLine="1134"/>
        <w:jc w:val="both"/>
        <w:rPr>
          <w:rFonts w:ascii="Times New Roman" w:hAnsi="Times New Roman"/>
          <w:sz w:val="24"/>
          <w:szCs w:val="24"/>
        </w:rPr>
      </w:pPr>
      <w:r>
        <w:rPr>
          <w:rFonts w:ascii="Times New Roman" w:hAnsi="Times New Roman"/>
          <w:sz w:val="24"/>
          <w:szCs w:val="24"/>
        </w:rPr>
        <w:t xml:space="preserve">4. Учасник повинен:</w:t>
      </w:r>
      <w:r/>
    </w:p>
    <w:p>
      <w:pPr>
        <w:pStyle w:val="736"/>
        <w:ind w:left="-426" w:firstLine="1134"/>
        <w:jc w:val="both"/>
        <w:rPr>
          <w:rFonts w:ascii="Times New Roman" w:hAnsi="Times New Roman"/>
          <w:sz w:val="24"/>
          <w:szCs w:val="24"/>
        </w:rPr>
      </w:pPr>
      <w:r>
        <w:rPr>
          <w:rFonts w:ascii="Times New Roman" w:hAnsi="Times New Roman"/>
          <w:sz w:val="24"/>
          <w:szCs w:val="24"/>
        </w:rPr>
        <w:t xml:space="preserve">здійснити прокладання та монтаж кабелів ВОЛЗ згідно з розробленим Робочим проєктом на Об’єкті. При виконанні монтажних робіт слід дотримуватися вимог Положення про кабельну каналізацію електронних</w:t>
      </w:r>
      <w:r>
        <w:rPr>
          <w:rFonts w:ascii="Times New Roman" w:hAnsi="Times New Roman"/>
          <w:sz w:val="24"/>
          <w:szCs w:val="24"/>
        </w:rPr>
        <w:t xml:space="preserve"> комунікаційних мереж, затверджених Постановою НКРЗІ від 06.09.2023 № 342. Виконання робіт з прокладання та монтажу кабелів ВОЛЗ передбачає придбання Учасником за власний рахунок усіх матеріалів та комплектуючих, необхідних для реалізації Робочого проекту.</w:t>
      </w:r>
      <w:r/>
    </w:p>
    <w:p>
      <w:pPr>
        <w:pStyle w:val="736"/>
        <w:ind w:left="-426" w:firstLine="1134"/>
        <w:jc w:val="both"/>
        <w:rPr>
          <w:rFonts w:ascii="Times New Roman" w:hAnsi="Times New Roman"/>
          <w:sz w:val="24"/>
          <w:szCs w:val="24"/>
        </w:rPr>
      </w:pPr>
      <w:r>
        <w:rPr>
          <w:rFonts w:ascii="Times New Roman" w:hAnsi="Times New Roman"/>
          <w:sz w:val="24"/>
          <w:szCs w:val="24"/>
        </w:rPr>
        <w:t xml:space="preserve">провести вимірювання параметрів кабелів ВОЛЗ на відповідність технічних характеристик чинним нормам з наданням відповідних протоколів та актів. Надати паспорти ВОЛЗ.</w:t>
      </w:r>
      <w:r/>
    </w:p>
    <w:p>
      <w:pPr>
        <w:pStyle w:val="736"/>
        <w:ind w:left="-426" w:firstLine="1134"/>
        <w:jc w:val="both"/>
        <w:rPr>
          <w:rFonts w:ascii="Times New Roman" w:hAnsi="Times New Roman"/>
          <w:sz w:val="24"/>
          <w:szCs w:val="24"/>
        </w:rPr>
      </w:pPr>
      <w:r>
        <w:rPr>
          <w:rFonts w:ascii="Times New Roman" w:hAnsi="Times New Roman"/>
          <w:sz w:val="24"/>
          <w:szCs w:val="24"/>
        </w:rPr>
        <w:t xml:space="preserve">після виконання робіт, відповідно до погодженої АТ «Укртелеком» та іншими установами проєктної документації з прокладання та монтажу кабелів ВОЛЗ,</w:t>
      </w:r>
      <w:r>
        <w:rPr>
          <w:rFonts w:ascii="Times New Roman" w:hAnsi="Times New Roman"/>
          <w:sz w:val="24"/>
          <w:szCs w:val="24"/>
        </w:rPr>
        <w:t xml:space="preserve"> оформити акт опосвідчення кабелів, до якого обов’язково додати виконавче креслення проходження кабелів ВОЛЗ в каналах ККЕ з відображенням інформації про тип, марку, зовнішній діаметр кабелю, номери колодязів та номери каналів, в яких прокладено ці кабелі.</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1 329 666</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триста двадцять дев’ять тисяч шістсот шістдесят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9"/>
  </w:num>
  <w:num w:numId="4">
    <w:abstractNumId w:val="28"/>
  </w:num>
  <w:num w:numId="5">
    <w:abstractNumId w:val="8"/>
  </w:num>
  <w:num w:numId="6">
    <w:abstractNumId w:val="35"/>
  </w:num>
  <w:num w:numId="7">
    <w:abstractNumId w:val="13"/>
  </w:num>
  <w:num w:numId="8">
    <w:abstractNumId w:val="3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4"/>
  </w:num>
  <w:num w:numId="32">
    <w:abstractNumId w:val="21"/>
  </w:num>
  <w:num w:numId="33">
    <w:abstractNumId w:val="18"/>
  </w:num>
  <w:num w:numId="34">
    <w:abstractNumId w:val="16"/>
  </w:num>
  <w:num w:numId="35">
    <w:abstractNumId w:val="39"/>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2024-08-19T13:56:07Z</dcterms:modified>
</cp:coreProperties>
</file>