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 корегування техніч</w:t>
      </w:r>
      <w:r>
        <w:rPr>
          <w:b w:val="0"/>
          <w:bCs w:val="0"/>
          <w:sz w:val="24"/>
          <w:szCs w:val="24"/>
        </w:rPr>
        <w:t xml:space="preserve">ної документації «Розробка технічного проекту на створення системи екстреної допомоги населенню» (Розроблення часткового технічного завдання на створення програмно-апаратного комплексу інформаційно-комунікаційної системи 112) кодом CPV за ЄЗС ДК 021:2015 –</w:t>
      </w:r>
      <w:r>
        <w:rPr>
          <w:b w:val="0"/>
          <w:bCs w:val="0"/>
          <w:sz w:val="24"/>
          <w:szCs w:val="24"/>
          <w:lang w:eastAsia="ar-SA"/>
        </w:rPr>
        <w:t xml:space="preserve"> </w:t>
      </w:r>
      <w:r>
        <w:rPr>
          <w:b w:val="0"/>
          <w:bCs w:val="0"/>
          <w:sz w:val="24"/>
          <w:szCs w:val="24"/>
        </w:rPr>
        <w:t xml:space="preserve">72250000-2 Послуги, пов’язані із системами та підтримкою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017895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корегування техніч</w:t>
      </w:r>
      <w:r>
        <w:rPr>
          <w:rFonts w:ascii="Times New Roman" w:hAnsi="Times New Roman" w:cs="Times New Roman"/>
          <w:sz w:val="24"/>
          <w:szCs w:val="24"/>
        </w:rPr>
        <w:t xml:space="preserve">ної документації «Розробка технічного проекту на створення системи екстреної допомоги населенню» (Розроблення часткового технічного завдання на створення програмно-апаратного комплексу інформаційно-комунікаційної системи 112) кодом CPV за ЄЗС ДК 021:2015 –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72250000-2 Послуги, пов’язані із системами та підтримкою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/>
      <w:bookmarkStart w:id="1" w:name="_Hlk138257985"/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 з корегування техніч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ної документації «Розробка технічного проекту на створення системи екстреної допомоги населенню» (Розроблення часткового технічного завдання на створення програмно-апаратного комплексу інформаційно-комунікаційної системи 112) кодом CPV за ЄЗС ДК 021:2015 –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 xml:space="preserve">72250000-2 Послуги, пов’язані із системами та підтримкою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ТЕХНІЧНІ ВИМОГИ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І.  Загальні положення </w:t>
      </w:r>
      <w:r/>
    </w:p>
    <w:p>
      <w:pPr>
        <w:numPr>
          <w:ilvl w:val="1"/>
          <w:numId w:val="35"/>
        </w:numPr>
        <w:contextualSpacing/>
        <w:ind w:left="0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Мета</w:t>
      </w:r>
      <w:r/>
    </w:p>
    <w:p>
      <w:pPr>
        <w:ind w:right="-1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 метою забезпечення</w:t>
      </w:r>
      <w:r>
        <w:rPr>
          <w:rFonts w:ascii="Times New Roman" w:hAnsi="Times New Roman" w:eastAsia="Calibri" w:cs="Times New Roman"/>
          <w:sz w:val="24"/>
          <w:szCs w:val="24"/>
        </w:rPr>
        <w:t xml:space="preserve"> впровадження та функціонування системи екстреної допомоги населенню за єдиним телефонним номером 112, відповідно до Закону України «Про систему екстреної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допомоги населенню за єдиним телефонним номером 112», Плану заходів із створення системи екстреної допомоги населенню за єдиним телефонним номером 112, затвердженого розпорядженням Кабінету Міністрів України від 15 листопада 2022 р. № 1024-р, підпункту 17</w:t>
      </w:r>
      <w:r>
        <w:rPr>
          <w:rFonts w:ascii="Times New Roman" w:hAnsi="Times New Roman" w:eastAsia="Calibri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пункту 4 Положення про Міністерство внутрішніх справ України, затвердженого постановою Кабінету Міністрів України від 28 жовтня 2015 року № 878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Положення про Державну установу «Центр інфраструктури та технологій Міністерства внутрішніх справ України», затвердженого наказом Міністерства внутрішніх справ України від 14.08.2012 № 702 (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 редакції наказу МВС від 03 жовтня 2023 року № 808</w:t>
      </w:r>
      <w:r>
        <w:rPr>
          <w:rFonts w:ascii="Times New Roman" w:hAnsi="Times New Roman" w:eastAsia="Calibri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Пол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оження про єдину інформаційну систему Міністерства внутрішніх справ, затвердженого постановою Кабінету Міністрів України від 14 листопада 2018 року № 1024, Положення про інформаційно-комунікаційну систему 112, затвердженого наказом Міністерства внутрішніх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справ України від 09 червня 2023 року № 473, зареєстрованого в Міністерстві юстиції України 14 червня 2023 року за № 988/40044, </w:t>
      </w:r>
      <w:bookmarkStart w:id="2" w:name="_Hlk150426220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виникла необхідність у проведенні </w:t>
      </w:r>
      <w:bookmarkStart w:id="3" w:name="_Hlk150426927"/>
      <w:r>
        <w:rPr>
          <w:rFonts w:ascii="Times New Roman" w:hAnsi="Times New Roman" w:eastAsia="Calibri" w:cs="Times New Roman"/>
          <w:sz w:val="24"/>
          <w:szCs w:val="24"/>
        </w:rPr>
        <w:t xml:space="preserve">корегування технічної документації «Розробка технічного проекту на створення системи екстреної допомоги населенню»</w:t>
      </w:r>
      <w:bookmarkEnd w:id="3"/>
      <w:r>
        <w:rPr>
          <w:rFonts w:ascii="Times New Roman" w:hAnsi="Times New Roman" w:eastAsia="Calibri" w:cs="Times New Roman"/>
          <w:sz w:val="24"/>
          <w:szCs w:val="24"/>
        </w:rPr>
        <w:t xml:space="preserve">, в частині розробки технічного завдання на створення програмно-апаратного комплексу (далі – ПАК) інформаційно-комунікаційної системи 112 (далі – ІКС 112) 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проєктного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рішення на створення типового ПАК для одного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макрорегіону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як нових розділів Документації (далі – </w:t>
      </w:r>
      <w:r>
        <w:rPr>
          <w:rFonts w:ascii="Times New Roman" w:hAnsi="Times New Roman" w:cs="Times New Roman"/>
          <w:sz w:val="24"/>
          <w:szCs w:val="24"/>
        </w:rPr>
        <w:t xml:space="preserve">Документація).</w:t>
      </w:r>
      <w:bookmarkEnd w:id="2"/>
      <w:r/>
    </w:p>
    <w:p>
      <w:pPr>
        <w:ind w:right="-1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numPr>
          <w:ilvl w:val="1"/>
          <w:numId w:val="35"/>
        </w:numPr>
        <w:contextualSpacing/>
        <w:ind w:left="0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Назва предмету закупівлі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Послуги з корегування технічної документації «Розробка технічного проекту на створення системи екстреної допомоги населенню» (Розроблення часткового технічного завдання на створення програмно-апаратного комплексу інформаційно-комунікаційної системи 112)».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numPr>
          <w:ilvl w:val="1"/>
          <w:numId w:val="35"/>
        </w:numPr>
        <w:contextualSpacing/>
        <w:ind w:left="0"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Підстава для надання послуг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Постанова Кабінету Міністрів України від 4 лютого 1998 року № 121</w:t>
      </w:r>
      <w:bookmarkStart w:id="4" w:name="o3"/>
      <w:r/>
      <w:bookmarkEnd w:id="4"/>
      <w:r>
        <w:rPr>
          <w:rFonts w:ascii="Times New Roman" w:hAnsi="Times New Roman" w:eastAsia="Calibri" w:cs="Times New Roman"/>
          <w:sz w:val="24"/>
          <w:szCs w:val="24"/>
        </w:rPr>
        <w:t xml:space="preserve"> «Про затвердження переліку обов’язкових етапів робіт під час проектування, впровадження та експлуатації засобів інформатизації».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План заходів із створення системи екстреної допомоги населенню за єдиним телефонним номером 112, затверджений розпорядженням Кабінету Міністрів України від 15 листопада 2022 року № 1024-р. 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Галузева програма інформатизації системи Міністерства внутрішніх справ України та цент</w:t>
      </w:r>
      <w:r>
        <w:rPr>
          <w:rFonts w:ascii="Times New Roman" w:hAnsi="Times New Roman" w:eastAsia="Calibri" w:cs="Times New Roman"/>
          <w:sz w:val="24"/>
          <w:szCs w:val="24"/>
        </w:rPr>
        <w:t xml:space="preserve">ральних органів виконавчої влади, діяльність яких спрямовується і координується Кабінетом Міністрів України через Міністра внутрішніх справ України, на 2021–2023 роки, затверджена наказом Міністерства внутрішніх справ України від 22 квітня 2021 року № 301.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numPr>
          <w:ilvl w:val="1"/>
          <w:numId w:val="35"/>
        </w:num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Терміни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Терміни, що використовуються у цих Технічних вимогах, вживаються у значеннях, наведених у Законі України «Про систему екстреної допомоги населенню за єдиним </w:t>
      </w:r>
      <w:r>
        <w:rPr>
          <w:rFonts w:ascii="Times New Roman" w:hAnsi="Times New Roman" w:eastAsia="Calibri" w:cs="Times New Roman"/>
          <w:sz w:val="24"/>
          <w:szCs w:val="24"/>
          <w:lang w:eastAsia="uk-UA"/>
        </w:rPr>
        <w:t xml:space="preserve">телефонним номером 112».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lang w:eastAsia="uk-UA"/>
        </w:rPr>
      </w:pPr>
      <w:r>
        <w:rPr>
          <w:rFonts w:ascii="Times New Roman" w:hAnsi="Times New Roman" w:eastAsia="Calibri" w:cs="Times New Roman"/>
          <w:sz w:val="24"/>
          <w:szCs w:val="24"/>
          <w:lang w:eastAsia="uk-UA"/>
        </w:rPr>
      </w:r>
      <w:r/>
    </w:p>
    <w:p>
      <w:pPr>
        <w:numPr>
          <w:ilvl w:val="1"/>
          <w:numId w:val="35"/>
        </w:num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Замовник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ДЕРЖАВНА УСТАНОВА «ЦЕНТР ІНФРАСТРУКТУРИ ТА ТЕХНОЛОГІЙ МІНІСТЕРСТВА ВНУТРІШНІХ СПРАВ УКРАЇНИ» </w:t>
      </w:r>
      <w:r>
        <w:rPr>
          <w:rFonts w:ascii="Times New Roman" w:hAnsi="Times New Roman" w:eastAsia="Calibri" w:cs="Times New Roman"/>
          <w:sz w:val="24"/>
          <w:szCs w:val="24"/>
        </w:rPr>
        <w:t xml:space="preserve">(далі – ДУ ЦІТ МВС України)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місцезнаходження – Україна, 03151, м. Київ, вул. Володимира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буд. 28, код за ЄДРПОУ – 24521399.</w:t>
      </w:r>
      <w:r/>
    </w:p>
    <w:p>
      <w:pPr>
        <w:ind w:firstLine="567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ІІ. Загальні принципи побудови системи 112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Система екстреної допомоги населенн</w:t>
      </w:r>
      <w:r>
        <w:rPr>
          <w:rFonts w:ascii="Times New Roman" w:hAnsi="Times New Roman" w:eastAsia="Calibri" w:cs="Times New Roman"/>
          <w:sz w:val="24"/>
          <w:szCs w:val="24"/>
        </w:rPr>
        <w:t xml:space="preserve">ю за єдиним телефонним номером 112 (далі - система 112) - сукупність визначених цим Законом суб’єктів, які забезпечують організацію надання екстреної допомоги населенню за принципом «єдиного вікна» з використанням технічних засобів електронних комунікацій.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4"/>
        </w:rPr>
      </w:pPr>
      <w:r/>
      <w:bookmarkStart w:id="5" w:name="n113"/>
      <w:r/>
      <w:bookmarkStart w:id="6" w:name="n106"/>
      <w:r/>
      <w:bookmarkEnd w:id="5"/>
      <w:r/>
      <w:bookmarkEnd w:id="6"/>
      <w:r>
        <w:rPr>
          <w:rFonts w:ascii="Times New Roman" w:hAnsi="Times New Roman" w:eastAsia="Calibri" w:cs="Times New Roman"/>
          <w:sz w:val="24"/>
          <w:szCs w:val="24"/>
        </w:rPr>
        <w:t xml:space="preserve">Інформаційно-комунікаційна система 112 - складова частина системи 112, що є функціональною підсистемою єдиної інформаці</w:t>
      </w:r>
      <w:r>
        <w:rPr>
          <w:rFonts w:ascii="Times New Roman" w:hAnsi="Times New Roman" w:eastAsia="Calibri" w:cs="Times New Roman"/>
          <w:sz w:val="24"/>
          <w:szCs w:val="24"/>
        </w:rPr>
        <w:t xml:space="preserve">йної системи Міністерства внутрішніх справ України і становить сукупність програмно-апаратного комплексу та електронних комунікаційних мереж, призначених для здійснення екстрених комунікацій, їх обробки, зберігання, передачі інформації про них відповідним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оперативно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-диспетчерським службам, які доводять її до відома відповідних підрозділів екстреної допомоги населенню для надання такої допомоги.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Принцип побудови  системи 112 передбачає комплексне надання допомоги населенню у разі виникнення екстрених ситуацій, що загрожують здоров’ю, життю, майну або навколишньому природному середовищу, громадському порядку, та інші небезпечні події.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Побудова системи 112 повинна відповідати таким базовим вимогам:</w:t>
      </w:r>
      <w:r/>
    </w:p>
    <w:p>
      <w:pPr>
        <w:numPr>
          <w:ilvl w:val="0"/>
          <w:numId w:val="40"/>
        </w:num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екстрені комунікації приймаються та опрацьовуються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оперативно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та ефективно, як екстрені комунікації, що надходять на номери екстреної допомоги (101, 102, 103, 104);</w:t>
      </w:r>
      <w:r/>
    </w:p>
    <w:p>
      <w:pPr>
        <w:numPr>
          <w:ilvl w:val="0"/>
          <w:numId w:val="40"/>
        </w:num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для кінцевих користувачів з інвалідністю до служб екстреної допомоги є доступним через екстрені комунікації і еквівалентним тому, яким користуються інші кінцеві користувачі;</w:t>
      </w:r>
      <w:r/>
    </w:p>
    <w:p>
      <w:pPr>
        <w:numPr>
          <w:ilvl w:val="0"/>
          <w:numId w:val="40"/>
        </w:num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інформація про місцезнаходження абонента, що здійснює виклик, є доступною для найбільш прийнятної точки приймання безп</w:t>
      </w:r>
      <w:r>
        <w:rPr>
          <w:rFonts w:ascii="Times New Roman" w:hAnsi="Times New Roman" w:cs="Times New Roman"/>
          <w:sz w:val="24"/>
          <w:szCs w:val="24"/>
        </w:rPr>
        <w:t xml:space="preserve">екових викликів (PSAP) без затримки після встановлення екстреної комунікації і включає в себе інформацію про місцезнаходження на основі мережі, та, де це можливо, інформацію про місцезнаходження абонента, що здійснює виклик, отриману з мобільного пристрою;</w:t>
      </w:r>
      <w:r/>
    </w:p>
    <w:p>
      <w:pPr>
        <w:numPr>
          <w:ilvl w:val="0"/>
          <w:numId w:val="40"/>
        </w:num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кінцеві користувачі, зокрема особи з інвалідністю та особи, які не володіють державною мовою, належним чином поінформовані про функціонування  єдиного телефонного номера 112. </w:t>
      </w:r>
      <w:r/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чином повинна забезпечуватися сумісність, взаємодія, якість,</w:t>
      </w:r>
      <w:r>
        <w:rPr>
          <w:rFonts w:ascii="Times New Roman" w:hAnsi="Times New Roman" w:cs="Times New Roman"/>
          <w:sz w:val="24"/>
          <w:szCs w:val="24"/>
        </w:rPr>
        <w:t xml:space="preserve"> надійність та безперервність екстрених комунікацій стосовно інформації про місцезнаходження абонента, що здійснює виклик, доступу для кінцевих користувачів з інвалідністю та маршрутизації до найбільш прийнятної точки приймання безпекових викликів (PSAP).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Додатковими вимогами до побудови система 112 є: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/>
      <w:bookmarkStart w:id="7" w:name="n1097"/>
      <w:r/>
      <w:bookmarkEnd w:id="7"/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широке використання інформаційно-телекомунікаційних технологій при налаштуванні доступу населення до системи надання екстреної допомоги, а також організація електронної взаємодії на рівні суб’єктів, що забезпечують реагування на екстрену подію;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взаємодія та використання інформаційних, інформаційно- телекомунікаційних систем МВС та Центральних органів виконавчої влади (ЦОВВ) для інформаційно-аналітичної підтримки при прийнятті рішень під час реагування на екстрені та надзвичайні події;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ab/>
      </w:r>
      <w:r>
        <w:rPr>
          <w:rFonts w:ascii="Times New Roman" w:hAnsi="Times New Roman" w:eastAsia="Calibri" w:cs="Times New Roman"/>
          <w:sz w:val="24"/>
          <w:szCs w:val="24"/>
        </w:rPr>
        <w:t xml:space="preserve">використання засобів відеоспостереження та фіксації подій в реальному часі;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-</w:t>
      </w:r>
      <w:r>
        <w:rPr>
          <w:rFonts w:ascii="Times New Roman" w:hAnsi="Times New Roman" w:eastAsia="Calibri" w:cs="Times New Roman"/>
          <w:sz w:val="24"/>
          <w:szCs w:val="24"/>
        </w:rPr>
        <w:tab/>
        <w:t xml:space="preserve">використання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уповноваженими ЦОВВ та іншими органами виконавчої влади електронних пристроїв та систем з метою попередження екстрених подій та оперативного реагування у разі їх виникнення.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Система 112 базується на принципі «єдиного вікна», відповідно до якого доступ до всіх екстрених служб або однієї із них забезпечується за єдиним телефонним номером 112. При цьому номер 112 є не єдиним способом отримати екстрену допомогу. 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ІІІ. Загальні технічні вимоги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3.1. Технічні вимоги до побудови ІКС 112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За основу ІКС 112 необхідно використовувати дворівневу модель здійснення екстрених комунікацій: комунікаційний центр «Служба  112» (перший рівень), що відповідає за їх обробку, зберігання, передачу інформації про них відповідним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оперативно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-диспетчерським службам, а саме: 101, 102, 103, 104 (другий рівень), які доводять її до відома відповідних підрозділів екстреної допомоги населенню для надання такої допомоги.</w:t>
      </w:r>
      <w:r/>
    </w:p>
    <w:p>
      <w:pPr>
        <w:numPr>
          <w:ilvl w:val="0"/>
          <w:numId w:val="32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Під час обробки екстрених комунікацій, які надходять як голосові виклики, </w:t>
      </w:r>
      <w:r>
        <w:rPr>
          <w:rFonts w:ascii="Times New Roman" w:hAnsi="Times New Roman" w:cs="Times New Roman"/>
          <w:sz w:val="24"/>
          <w:szCs w:val="24"/>
        </w:rPr>
        <w:t xml:space="preserve">оператор, який здійснює екстрену комунікацію за єдиним телефонним номером 112 (далі – оператор 112),</w:t>
      </w:r>
      <w:r>
        <w:rPr>
          <w:rFonts w:ascii="Times New Roman" w:hAnsi="Times New Roman" w:eastAsia="Calibri" w:cs="Times New Roman"/>
          <w:sz w:val="24"/>
          <w:szCs w:val="24"/>
        </w:rPr>
        <w:t xml:space="preserve"> невідкладно з’ясовує у заявника інформацію про тип (вид) екстреної ситуації / події, яка потребує реагування.</w:t>
      </w:r>
      <w:r/>
    </w:p>
    <w:p>
      <w:pPr>
        <w:numPr>
          <w:ilvl w:val="0"/>
          <w:numId w:val="32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Якщо екстрена ситуація / подія не передбачає залучення до реагування на неї декількох екстрених служб, але потребує її відпрацювання (реагування) однією екстреною службою реагування (101, 102, 103, 104), оператор 112 невідкладно зазн</w:t>
      </w:r>
      <w:r>
        <w:rPr>
          <w:rFonts w:ascii="Times New Roman" w:hAnsi="Times New Roman" w:eastAsia="Calibri" w:cs="Times New Roman"/>
          <w:sz w:val="24"/>
          <w:szCs w:val="24"/>
        </w:rPr>
        <w:t xml:space="preserve">ачає в електронній картці інформацію про тип (вид) екстреної ситуації / події, яку разом з голосовим викликом за допомогою засобів ІКС 112 направляє / переадресовує до відповідного регіонального підрозділу екстреної служби реагування (101, 102, 103, 104). </w:t>
      </w:r>
      <w:r/>
    </w:p>
    <w:p>
      <w:pPr>
        <w:numPr>
          <w:ilvl w:val="0"/>
          <w:numId w:val="32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 разі необхідності (доцільності) залучення до відпрацювання (реагування) на екстрену ситуацію / подію декількох екстрених служб реагування (101, 102, 103, 104) оператор 112 невідкладно: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з’ясовує у заявника тип (вид) екстреної ситуації / події та додатково адресу місця, де сталася екстрена ситуація, про що вносить відповідну інформацію до електронної картки;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переадресовує відповідним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оперативно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-диспетчерським службам (101, 102, 103, 104), відповідальним за опрацювання відповідного типу (виду) екстреної ситуації, голосовий виклик та направляє електронну картку до відповідних підрозділів екстреної допомоги населенню для надання такої допомоги;  </w:t>
      </w:r>
      <w:r/>
    </w:p>
    <w:p>
      <w:pPr>
        <w:numPr>
          <w:ilvl w:val="0"/>
          <w:numId w:val="32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Екстрена служба реагування (101, 102, 103, 104), відповідальна за опрацювання відповідного типу (виду) екстреної ситуації,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разі необхідності залучення до його відпрацювання іншої або інших екстрених служб, своєчасно інформує про це відповідну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оперативно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-диспетчерську службу.</w:t>
      </w:r>
      <w:r/>
    </w:p>
    <w:p>
      <w:pPr>
        <w:numPr>
          <w:ilvl w:val="0"/>
          <w:numId w:val="32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 випадку надходження повідомлення про намір самогубства або від людини з порушенням слуху аб</w:t>
      </w:r>
      <w:r>
        <w:rPr>
          <w:rFonts w:ascii="Times New Roman" w:hAnsi="Times New Roman" w:eastAsia="Calibri" w:cs="Times New Roman"/>
          <w:sz w:val="24"/>
          <w:szCs w:val="24"/>
        </w:rPr>
        <w:t xml:space="preserve">о / та мовлення або / та іноземця, оператор 112 у стислі строки самостійно його опрацьовує та, залежно від типу (виду) екстреної ситуації / події, забезпечує своєчасну передачу електронної картки до відповідної екстреної служби для організації реагування. </w:t>
      </w:r>
      <w:r/>
    </w:p>
    <w:p>
      <w:pPr>
        <w:numPr>
          <w:ilvl w:val="0"/>
          <w:numId w:val="32"/>
        </w:numPr>
        <w:contextualSpacing/>
        <w:jc w:val="both"/>
        <w:keepNext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ІКС 112 включає типові ПАК для 4-х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макрорегіонів</w:t>
      </w:r>
      <w:r>
        <w:rPr>
          <w:rFonts w:ascii="Times New Roman" w:hAnsi="Times New Roman" w:eastAsia="Calibri" w:cs="Times New Roman"/>
          <w:sz w:val="24"/>
          <w:szCs w:val="24"/>
        </w:rPr>
        <w:t xml:space="preserve">:</w:t>
      </w:r>
      <w:r/>
    </w:p>
    <w:p>
      <w:pPr>
        <w:numPr>
          <w:ilvl w:val="0"/>
          <w:numId w:val="36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 комунікаційним центром «Служба 112» у м. Києві;</w:t>
      </w:r>
      <w:r/>
    </w:p>
    <w:p>
      <w:pPr>
        <w:numPr>
          <w:ilvl w:val="0"/>
          <w:numId w:val="36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 комунікаційним центром «Служба 112» у м. Львові;</w:t>
      </w:r>
      <w:r/>
    </w:p>
    <w:p>
      <w:pPr>
        <w:numPr>
          <w:ilvl w:val="0"/>
          <w:numId w:val="36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 комунікаційним центром «Служба 112» у м. Одесі;</w:t>
      </w:r>
      <w:r/>
    </w:p>
    <w:p>
      <w:pPr>
        <w:numPr>
          <w:ilvl w:val="0"/>
          <w:numId w:val="36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з комунікаційним центром «Служба 112» у м. Дніпро. </w:t>
      </w:r>
      <w:r/>
    </w:p>
    <w:p>
      <w:pPr>
        <w:contextualSpacing/>
        <w:ind w:left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3.2. Вимоги до PSAP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(точка приймання безпекових викликів) - фізичне місце, в якому екстрена комунікація надається в першу чергу (далі - PSAP).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передбачає безперебійне функціонування (24 години на добу / 7 днів у тиждень / 365 днів у році).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Центральна частина PSAP - рішення високої доступності не менше як 99.99% на рік.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передбачає додаткові заходи підвищення надійності доведення викликів 112 до комунікаційного центру «Служба 112»  в умовах складності прогнозування відмов, простоїв (тощо), а саме: </w:t>
      </w:r>
      <w:r/>
    </w:p>
    <w:p>
      <w:pPr>
        <w:numPr>
          <w:ilvl w:val="0"/>
          <w:numId w:val="40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виході з ладу комунікаційного центру «Служба 112» маршрутизацію викликів виконує АТС оператора зв’язку;</w:t>
      </w:r>
      <w:r/>
    </w:p>
    <w:p>
      <w:pPr>
        <w:numPr>
          <w:ilvl w:val="0"/>
          <w:numId w:val="40"/>
        </w:numPr>
        <w:contextualSpacing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виході з ладу АТС оператора зв’язку маршрутизацію викликів виконують голосові шлюзи;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- </w:t>
      </w:r>
      <w:r>
        <w:rPr>
          <w:rFonts w:ascii="Times New Roman" w:hAnsi="Times New Roman" w:eastAsia="Calibri" w:cs="Times New Roman"/>
          <w:sz w:val="24"/>
          <w:szCs w:val="24"/>
        </w:rPr>
        <w:t xml:space="preserve">катастрофостійка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система з географічно рознесеними площадками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датацентрами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на відстань не менше 10 км та не більше технологічно допустимої відстані.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Технічні площадки (</w:t>
      </w:r>
      <w:r>
        <w:rPr>
          <w:rFonts w:ascii="Times New Roman" w:hAnsi="Times New Roman" w:eastAsia="Calibri" w:cs="Times New Roman"/>
          <w:sz w:val="24"/>
          <w:szCs w:val="24"/>
        </w:rPr>
        <w:t xml:space="preserve">датацентри</w:t>
      </w:r>
      <w:r>
        <w:rPr>
          <w:rFonts w:ascii="Times New Roman" w:hAnsi="Times New Roman" w:eastAsia="Calibri" w:cs="Times New Roman"/>
          <w:sz w:val="24"/>
          <w:szCs w:val="24"/>
        </w:rPr>
        <w:t xml:space="preserve">) повинні відповідати вимогам класифікації надійності не нижче TIRE2 (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класифікація за рівнями від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Uptime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shd w:val="clear" w:color="auto" w:fill="ffffff"/>
        </w:rPr>
        <w:t xml:space="preserve">Institute</w:t>
      </w:r>
      <w:r>
        <w:rPr>
          <w:rFonts w:ascii="Times New Roman" w:hAnsi="Times New Roman" w:eastAsia="Calibri" w:cs="Times New Roman"/>
          <w:sz w:val="24"/>
          <w:szCs w:val="24"/>
        </w:rPr>
        <w:t xml:space="preserve">). 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систему резервного копіювання.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можливість модернізації / оновлення системи та програмного забезпечення, без простою.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систему моніторинг технічного стану системи в цілому, враховуючи стан каналів зв’язку.   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базуватися на стандартний операційній системі.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засоби інтеграції з діючими програмно-апаратними комплексами інформаційно-комунікаційних систем відповідних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оперативно</w:t>
      </w:r>
      <w:r>
        <w:rPr>
          <w:rFonts w:ascii="Times New Roman" w:hAnsi="Times New Roman" w:eastAsia="Calibri" w:cs="Times New Roman"/>
          <w:sz w:val="24"/>
          <w:szCs w:val="24"/>
        </w:rPr>
        <w:t xml:space="preserve">-диспетчерських служб (101, 102, 103, 104).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PSAP включає в себе інтегровані системи обробки даних, телефонії, передачу відео та даних тощо.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засоби управління груповими політиками, повноваженнями та привілеями (ідентифікація та аутентифікація).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можливість лінійного масштабування -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вiд</w:t>
      </w:r>
      <w:r>
        <w:rPr>
          <w:rFonts w:ascii="Times New Roman" w:hAnsi="Times New Roman" w:eastAsia="Calibri" w:cs="Times New Roman"/>
          <w:sz w:val="24"/>
          <w:szCs w:val="24"/>
        </w:rPr>
        <w:t xml:space="preserve"> локальної системи до системи національного масштабу.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можливість підключення до телефонної мережі, використовуючи стандартні протоколи.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засоби аудіо запису та зберігання голосових викликів та комунікацій оператора 112 з іншими екстреними службами.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мати засоби пошуку, прослуховування та перегляду збережених аудіо та відео записів.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засоби збору, зберігання та обробки журналів подій. 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PSAP повинна мати інтеграцію с </w:t>
      </w:r>
      <w:r>
        <w:rPr>
          <w:rFonts w:ascii="Times New Roman" w:hAnsi="Times New Roman" w:eastAsia="Calibri" w:cs="Times New Roman"/>
          <w:sz w:val="24"/>
          <w:szCs w:val="24"/>
        </w:rPr>
        <w:t xml:space="preserve">Apple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Google</w:t>
      </w:r>
      <w:r>
        <w:rPr>
          <w:rFonts w:ascii="Times New Roman" w:hAnsi="Times New Roman" w:eastAsia="Calibri" w:cs="Times New Roman"/>
          <w:sz w:val="24"/>
          <w:szCs w:val="24"/>
        </w:rPr>
        <w:t xml:space="preserve"> AML для визначення місцезнаходження термінального пристрою абонента.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мати засоби отримання та обробки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Cell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Tower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Location</w:t>
      </w:r>
      <w:r>
        <w:rPr>
          <w:rFonts w:ascii="Times New Roman" w:hAnsi="Times New Roman" w:eastAsia="Calibri" w:cs="Times New Roman"/>
          <w:sz w:val="24"/>
          <w:szCs w:val="24"/>
        </w:rPr>
        <w:t xml:space="preserve"> для визначення орієнтовного місцезнаходження абонента.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PSAP повинна бути побудована на архітектурі </w:t>
      </w:r>
      <w:r>
        <w:rPr>
          <w:rFonts w:ascii="Times New Roman" w:hAnsi="Times New Roman" w:eastAsia="Calibri" w:cs="Times New Roman"/>
          <w:sz w:val="24"/>
          <w:szCs w:val="24"/>
        </w:rPr>
        <w:t xml:space="preserve">VoIP</w:t>
      </w:r>
      <w:r>
        <w:rPr>
          <w:rFonts w:ascii="Times New Roman" w:hAnsi="Times New Roman" w:eastAsia="Calibri" w:cs="Times New Roman"/>
          <w:sz w:val="24"/>
          <w:szCs w:val="24"/>
        </w:rPr>
        <w:t xml:space="preserve"> з використанням підключення до операторів зв’язку по SIP протоколу.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Кожен з PSAP повинна мати канали зв’язку між собою (один до всіх - всі до одного).</w:t>
      </w:r>
      <w:r/>
    </w:p>
    <w:p>
      <w:pPr>
        <w:numPr>
          <w:ilvl w:val="0"/>
          <w:numId w:val="33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Канали зв’язку PSAP в межах типового ПАК одного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повинні бути створені як підсистеми високої надійності.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ІV. Основні вимоги до ПАК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ІКС 112 (далі ПАК 112)</w:t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4.1. Вимоги щодо засобів взаємодії систем ПАК 112 з населенням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Взаємодія систем ПАК 112 здійснює</w:t>
      </w:r>
      <w:r>
        <w:rPr>
          <w:rFonts w:ascii="Times New Roman" w:hAnsi="Times New Roman" w:eastAsia="Calibri" w:cs="Times New Roman"/>
          <w:sz w:val="24"/>
          <w:szCs w:val="24"/>
        </w:rPr>
        <w:t xml:space="preserve">ться зі всіма особами, які перебувають на території України, у тому числі особами з інвалідністю та особами, які не володіють державною мовою, за допомогою голосових дзвінків та інших технічних засобів електронних комунікацій, а саме повинна забезпечувати:</w:t>
      </w:r>
      <w:r/>
    </w:p>
    <w:p>
      <w:pPr>
        <w:numPr>
          <w:ilvl w:val="0"/>
          <w:numId w:val="4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двосторонню голосову комунікацію (зворотний зв’язок) з кінцевим користувачем протягом усього часу надання екстреної допомоги за єдиним телефонним номером 112.</w:t>
      </w:r>
      <w:r/>
    </w:p>
    <w:p>
      <w:pPr>
        <w:numPr>
          <w:ilvl w:val="0"/>
          <w:numId w:val="4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двосторонню текстову комунікацію (SMS) з кінцевим користувачем протягом усього часу надання екстреної допомоги за єдиним телефонним номером 112.</w:t>
      </w:r>
      <w:r/>
    </w:p>
    <w:p>
      <w:pPr>
        <w:numPr>
          <w:ilvl w:val="0"/>
          <w:numId w:val="4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відео та текстову комунікацію з сайту 112. </w:t>
      </w:r>
      <w:r/>
    </w:p>
    <w:p>
      <w:pPr>
        <w:numPr>
          <w:ilvl w:val="0"/>
          <w:numId w:val="41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комунікацію з кінцевим користувачем з використанням мобільного додатку Єдиного державного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вебпорталу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електронних послуг (</w:t>
      </w:r>
      <w:bookmarkStart w:id="8" w:name="w1_2"/>
      <w:r>
        <w:rPr>
          <w:rFonts w:ascii="Times New Roman" w:hAnsi="Times New Roman" w:eastAsia="Calibri" w:cs="Times New Roman"/>
          <w:sz w:val="24"/>
          <w:szCs w:val="24"/>
        </w:rPr>
        <w:fldChar w:fldCharType="begin"/>
      </w:r>
      <w:r>
        <w:rPr>
          <w:rFonts w:ascii="Times New Roman" w:hAnsi="Times New Roman" w:eastAsia="Calibri" w:cs="Times New Roman"/>
          <w:sz w:val="24"/>
          <w:szCs w:val="24"/>
        </w:rPr>
        <w:instrText xml:space="preserve"> HYPERLINK "https://zakon.rada.gov.ua/laws/show/1024-2022-%D1%80?find=1&amp;text=%D0%94%D1%96%D1%8F" \l "w1_3" </w:instrText>
      </w:r>
      <w:r>
        <w:rPr>
          <w:rFonts w:ascii="Times New Roman" w:hAnsi="Times New Roman" w:eastAsia="Calibri" w:cs="Times New Roman"/>
          <w:sz w:val="24"/>
          <w:szCs w:val="24"/>
        </w:rP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 xml:space="preserve">Дія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bookmarkEnd w:id="8"/>
      <w:r>
        <w:rPr>
          <w:rFonts w:ascii="Times New Roman" w:hAnsi="Times New Roman" w:eastAsia="Calibri" w:cs="Times New Roman"/>
          <w:sz w:val="24"/>
          <w:szCs w:val="24"/>
        </w:rPr>
        <w:t xml:space="preserve">).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4.2. Вимоги щодо інформаційної безпеки ПАК 112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Побудова загальної архітектури інформаційної безпеки повинна здійснюватися за принципом нульової довіри (</w:t>
      </w:r>
      <w:r>
        <w:rPr>
          <w:rFonts w:ascii="Times New Roman" w:hAnsi="Times New Roman" w:eastAsia="Calibri" w:cs="Times New Roman"/>
          <w:sz w:val="24"/>
          <w:szCs w:val="24"/>
        </w:rPr>
        <w:t xml:space="preserve">Zero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Trust</w:t>
      </w:r>
      <w:r>
        <w:rPr>
          <w:rFonts w:ascii="Times New Roman" w:hAnsi="Times New Roman" w:eastAsia="Calibri" w:cs="Times New Roman"/>
          <w:sz w:val="24"/>
          <w:szCs w:val="24"/>
        </w:rPr>
        <w:t xml:space="preserve">). Це стратегічний підхід до безпеки, який використовує концепцію, що базується на трьох основних засадах:</w:t>
      </w:r>
      <w:r/>
    </w:p>
    <w:p>
      <w:pPr>
        <w:numPr>
          <w:ilvl w:val="0"/>
          <w:numId w:val="37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«User </w:t>
      </w:r>
      <w:r>
        <w:rPr>
          <w:rFonts w:ascii="Times New Roman" w:hAnsi="Times New Roman" w:eastAsia="Calibri" w:cs="Times New Roman"/>
          <w:sz w:val="24"/>
          <w:szCs w:val="24"/>
        </w:rPr>
        <w:t xml:space="preserve">and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Device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Security</w:t>
      </w:r>
      <w:r>
        <w:rPr>
          <w:rFonts w:ascii="Times New Roman" w:hAnsi="Times New Roman" w:eastAsia="Calibri" w:cs="Times New Roman"/>
          <w:sz w:val="24"/>
          <w:szCs w:val="24"/>
        </w:rPr>
        <w:t xml:space="preserve">» - гарантія того, що користувачам та пристроям можна довіряти, незалежно від того, де вони знаходяться;</w:t>
      </w:r>
      <w:r/>
    </w:p>
    <w:p>
      <w:pPr>
        <w:numPr>
          <w:ilvl w:val="0"/>
          <w:numId w:val="37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Network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and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Cloud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Security</w:t>
      </w:r>
      <w:r>
        <w:rPr>
          <w:rFonts w:ascii="Times New Roman" w:hAnsi="Times New Roman" w:eastAsia="Calibri" w:cs="Times New Roman"/>
          <w:sz w:val="24"/>
          <w:szCs w:val="24"/>
        </w:rPr>
        <w:t xml:space="preserve">»-  захист всіх мережевих ресурсів як локально, так і в хмарному середовищі, і гарантія безпечного доступу для всіх користувачів, що підключаються;</w:t>
      </w:r>
      <w:r/>
    </w:p>
    <w:p>
      <w:pPr>
        <w:numPr>
          <w:ilvl w:val="0"/>
          <w:numId w:val="37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«</w:t>
      </w:r>
      <w:r>
        <w:rPr>
          <w:rFonts w:ascii="Times New Roman" w:hAnsi="Times New Roman" w:eastAsia="Calibri" w:cs="Times New Roman"/>
          <w:sz w:val="24"/>
          <w:szCs w:val="24"/>
        </w:rPr>
        <w:t xml:space="preserve">Application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and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Data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Security</w:t>
      </w:r>
      <w:r>
        <w:rPr>
          <w:rFonts w:ascii="Times New Roman" w:hAnsi="Times New Roman" w:eastAsia="Calibri" w:cs="Times New Roman"/>
          <w:sz w:val="24"/>
          <w:szCs w:val="24"/>
        </w:rPr>
        <w:t xml:space="preserve">»- заборона неавторизованого доступу до додатків, без залежності від того, де вони розгорнуті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Архітектура безпеки ПАК 112 повинна складатися з окремих компонентів, як програмних, так і апаратних. Для реалізації </w:t>
      </w:r>
      <w:r>
        <w:rPr>
          <w:rFonts w:ascii="Times New Roman" w:hAnsi="Times New Roman" w:eastAsia="Calibri" w:cs="Times New Roman"/>
          <w:sz w:val="24"/>
          <w:szCs w:val="24"/>
        </w:rPr>
        <w:t xml:space="preserve">Zero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Trust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при створенні ПАК 112  повинно враховувати наступні компоненти: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мультифакторну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автентифікацію для користувачів, доступ до сервісів а також віддалений VPN доступ;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багатофункціональну систему захисту користувачів від шкідливих інтернет-ресурсів, що використовує аналіз DNS трафіку як перший рівень захисту;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Next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Generation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Firewall</w:t>
      </w:r>
      <w:r>
        <w:rPr>
          <w:rFonts w:ascii="Times New Roman" w:hAnsi="Times New Roman" w:eastAsia="Calibri" w:cs="Times New Roman"/>
          <w:sz w:val="24"/>
          <w:szCs w:val="24"/>
        </w:rPr>
        <w:t xml:space="preserve">, що виконує функцію захисту трафіка користувачів, захисту серверів від шкідливого трафіку, побудову політик доступу для користувачів до мережевих та інтернет ресурсів, забезпечує видимість трафіку;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універсальний клієнт, що забезпечує аналіз стану вузла, захист від шкідливого коду, аналіз трафіку, захист роумінг користувачів, </w:t>
      </w:r>
      <w:r>
        <w:rPr>
          <w:rFonts w:ascii="Times New Roman" w:hAnsi="Times New Roman" w:eastAsia="Calibri" w:cs="Times New Roman"/>
          <w:sz w:val="24"/>
          <w:szCs w:val="24"/>
        </w:rPr>
        <w:t xml:space="preserve">Remote</w:t>
      </w:r>
      <w:r>
        <w:rPr>
          <w:rFonts w:ascii="Times New Roman" w:hAnsi="Times New Roman" w:eastAsia="Calibri" w:cs="Times New Roman"/>
          <w:sz w:val="24"/>
          <w:szCs w:val="24"/>
        </w:rPr>
        <w:t xml:space="preserve"> Access VPN;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систему захисту від шкідливого коду, що забезпечує функціональність традиційного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антивіруса</w:t>
      </w:r>
      <w:r>
        <w:rPr>
          <w:rFonts w:ascii="Times New Roman" w:hAnsi="Times New Roman" w:eastAsia="Calibri" w:cs="Times New Roman"/>
          <w:sz w:val="24"/>
          <w:szCs w:val="24"/>
        </w:rPr>
        <w:t xml:space="preserve">, а також EDR/XDR функціонал;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візуалізація та аналіз всіх потоків трафіка в мережі, а також поведінковий аналіз трафіка, що забезпечує захист від атак 0-day;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система контроля доступу до мережі яка забезпечує автентифікацію користувачів та пристроїв за допомогою протоколу 802.1x, контроль стану пристроїв, блокування неавторизованих пристроїв, аутентифікація та авторизація користувачів VPN, </w:t>
      </w:r>
      <w:r>
        <w:rPr>
          <w:rFonts w:ascii="Times New Roman" w:hAnsi="Times New Roman" w:eastAsia="Calibri" w:cs="Times New Roman"/>
          <w:sz w:val="24"/>
          <w:szCs w:val="24"/>
        </w:rPr>
        <w:t xml:space="preserve">Wireless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та </w:t>
      </w:r>
      <w:r>
        <w:rPr>
          <w:rFonts w:ascii="Times New Roman" w:hAnsi="Times New Roman" w:eastAsia="Calibri" w:cs="Times New Roman"/>
          <w:sz w:val="24"/>
          <w:szCs w:val="24"/>
        </w:rPr>
        <w:t xml:space="preserve">Wired</w:t>
      </w:r>
      <w:r>
        <w:rPr>
          <w:rFonts w:ascii="Times New Roman" w:hAnsi="Times New Roman" w:eastAsia="Calibri" w:cs="Times New Roman"/>
          <w:sz w:val="24"/>
          <w:szCs w:val="24"/>
        </w:rPr>
        <w:t xml:space="preserve"> мереж одночасно з використанням прозорих політик доступу;</w:t>
      </w:r>
      <w:r/>
    </w:p>
    <w:p>
      <w:pPr>
        <w:numPr>
          <w:ilvl w:val="0"/>
          <w:numId w:val="34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повинно бути передбачено інфраструктуру відкритих ключів.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Забезпечення конфіденційності та безпеки даних, що вносяться, обробляються та зберігаються в ПАК 112, здійснюється відповідно до законів України </w:t>
      </w:r>
      <w:hyperlink r:id="rId11" w:tooltip="https://zakon.rada.gov.ua/laws/show/80/94-%D0%B2%D1%80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«Про захист інформації в інформаційно-комунікаційних системах</w:t>
        </w:r>
      </w:hyperlink>
      <w:r>
        <w:rPr>
          <w:rFonts w:ascii="Times New Roman" w:hAnsi="Times New Roman" w:eastAsia="Calibri" w:cs="Times New Roman"/>
          <w:sz w:val="24"/>
          <w:szCs w:val="24"/>
        </w:rPr>
        <w:t xml:space="preserve">» та </w:t>
      </w:r>
      <w:hyperlink r:id="rId12" w:tooltip="https://zakon.rada.gov.ua/laws/show/2297-17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«Про захист </w:t>
        </w:r>
      </w:hyperlink>
      <w:r/>
      <w:bookmarkStart w:id="9" w:name="w1_4"/>
      <w:r>
        <w:rPr>
          <w:rFonts w:ascii="Times New Roman" w:hAnsi="Times New Roman" w:eastAsia="Calibri" w:cs="Times New Roman"/>
          <w:sz w:val="24"/>
          <w:szCs w:val="24"/>
        </w:rPr>
        <w:fldChar w:fldCharType="begin"/>
      </w:r>
      <w:r>
        <w:rPr>
          <w:rFonts w:ascii="Times New Roman" w:hAnsi="Times New Roman" w:eastAsia="Calibri" w:cs="Times New Roman"/>
          <w:sz w:val="24"/>
          <w:szCs w:val="24"/>
        </w:rPr>
        <w:instrText xml:space="preserve"> HYPERLINK "https://zakon.rada.gov.ua/laws/show/4499-17?find=1&amp;text=%D0%9F%D0%95%D0%A0%D0%A1%D0%9E%D0%9D" \l "w1_5" </w:instrText>
      </w:r>
      <w:r>
        <w:rPr>
          <w:rFonts w:ascii="Times New Roman" w:hAnsi="Times New Roman" w:eastAsia="Calibri" w:cs="Times New Roman"/>
          <w:sz w:val="24"/>
          <w:szCs w:val="24"/>
        </w:rP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 xml:space="preserve">персон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bookmarkEnd w:id="9"/>
      <w:r>
        <w:rPr>
          <w:rFonts w:ascii="Times New Roman" w:hAnsi="Times New Roman" w:eastAsia="Calibri" w:cs="Times New Roman"/>
          <w:sz w:val="24"/>
          <w:szCs w:val="24"/>
        </w:rPr>
        <w:t xml:space="preserve">альних даних».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ПАК 112 повинен мати засоби контроля та моніторингу за адміністративними обліковими записами.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firstLine="567"/>
        <w:jc w:val="center"/>
        <w:keepNext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V. Вимоги до предмету закупівлі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 </w:t>
      </w:r>
      <w:r>
        <w:rPr>
          <w:rFonts w:ascii="Times New Roman" w:hAnsi="Times New Roman" w:eastAsia="Calibri" w:cs="Times New Roman"/>
          <w:sz w:val="24"/>
          <w:szCs w:val="24"/>
        </w:rPr>
        <w:t xml:space="preserve">ІКС 112</w:t>
      </w:r>
      <w:r>
        <w:rPr>
          <w:rFonts w:ascii="Times New Roman" w:hAnsi="Times New Roman" w:cs="Times New Roman"/>
          <w:sz w:val="24"/>
          <w:szCs w:val="24"/>
        </w:rPr>
        <w:t xml:space="preserve"> кожного </w:t>
      </w:r>
      <w:r>
        <w:rPr>
          <w:rFonts w:ascii="Times New Roman" w:hAnsi="Times New Roman" w:cs="Times New Roman"/>
          <w:sz w:val="24"/>
          <w:szCs w:val="24"/>
        </w:rPr>
        <w:t xml:space="preserve">макрорегіону</w:t>
      </w:r>
      <w:r>
        <w:rPr>
          <w:rFonts w:ascii="Times New Roman" w:hAnsi="Times New Roman" w:cs="Times New Roman"/>
          <w:sz w:val="24"/>
          <w:szCs w:val="24"/>
        </w:rPr>
        <w:t xml:space="preserve">, як точка приймання безпекових викликів (PSAP), повинен мати спроможність забезпечити обробку викликів усієї країни у разі виходу з ладу трьох інших PSAP.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розробці Документації врахувати обладнання та ліцензії, які вже є в наявності.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5.1. Склад Технічного завдання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Технічне завдання (надалі ТЗ) є основним документом, що визначає вимоги та порядок створення програмно-апаратного комплексу </w:t>
      </w:r>
      <w:r>
        <w:rPr>
          <w:rFonts w:ascii="Times New Roman" w:hAnsi="Times New Roman" w:eastAsia="Calibri" w:cs="Times New Roman"/>
          <w:sz w:val="24"/>
          <w:szCs w:val="24"/>
        </w:rPr>
        <w:t xml:space="preserve">ІКС 112</w:t>
      </w:r>
      <w:r>
        <w:rPr>
          <w:rFonts w:ascii="Times New Roman" w:hAnsi="Times New Roman" w:cs="Times New Roman"/>
          <w:sz w:val="24"/>
          <w:szCs w:val="24"/>
        </w:rPr>
        <w:t xml:space="preserve">, відповідно до якого проводиться розробка </w:t>
      </w:r>
      <w:r>
        <w:rPr>
          <w:rFonts w:ascii="Times New Roman" w:hAnsi="Times New Roman" w:cs="Times New Roman"/>
          <w:sz w:val="24"/>
          <w:szCs w:val="24"/>
        </w:rPr>
        <w:t xml:space="preserve">проєктних</w:t>
      </w:r>
      <w:r>
        <w:rPr>
          <w:rFonts w:ascii="Times New Roman" w:hAnsi="Times New Roman" w:cs="Times New Roman"/>
          <w:sz w:val="24"/>
          <w:szCs w:val="24"/>
        </w:rPr>
        <w:t xml:space="preserve"> рішень та його приймання при введенні в експлуатацію.</w:t>
      </w:r>
      <w:r/>
    </w:p>
    <w:p>
      <w:p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ТЗ на ПАК включає наступні розділи:</w:t>
      </w:r>
      <w:r/>
    </w:p>
    <w:p>
      <w:pPr>
        <w:numPr>
          <w:ilvl w:val="0"/>
          <w:numId w:val="42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Загальні відомості;</w:t>
      </w:r>
      <w:r/>
    </w:p>
    <w:p>
      <w:pPr>
        <w:numPr>
          <w:ilvl w:val="0"/>
          <w:numId w:val="42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Призначення та цілі створення ПАК;</w:t>
      </w:r>
      <w:r/>
    </w:p>
    <w:p>
      <w:pPr>
        <w:numPr>
          <w:ilvl w:val="0"/>
          <w:numId w:val="42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ПАК;</w:t>
      </w:r>
      <w:r/>
    </w:p>
    <w:p>
      <w:pPr>
        <w:numPr>
          <w:ilvl w:val="0"/>
          <w:numId w:val="39"/>
        </w:numPr>
        <w:contextualSpacing/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ПАК загалом та його структурі;</w:t>
      </w:r>
      <w:r/>
    </w:p>
    <w:p>
      <w:pPr>
        <w:numPr>
          <w:ilvl w:val="0"/>
          <w:numId w:val="39"/>
        </w:numPr>
        <w:contextualSpacing/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функцій (завдань), що виконуються ПАК;</w:t>
      </w:r>
      <w:r/>
    </w:p>
    <w:p>
      <w:pPr>
        <w:numPr>
          <w:ilvl w:val="0"/>
          <w:numId w:val="39"/>
        </w:numPr>
        <w:contextualSpacing/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видів забезпечення ПАК (технічному, програмному, інформаційному);</w:t>
      </w:r>
      <w:r/>
    </w:p>
    <w:p>
      <w:pPr>
        <w:numPr>
          <w:ilvl w:val="0"/>
          <w:numId w:val="42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 та зміст робіт зі створення ПАК;</w:t>
      </w:r>
      <w:r/>
    </w:p>
    <w:p>
      <w:pPr>
        <w:numPr>
          <w:ilvl w:val="0"/>
          <w:numId w:val="42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складу та змісту робіт з підготовки об’єкта до введення ПАК в експлуатацію;</w:t>
      </w:r>
      <w:r/>
    </w:p>
    <w:p>
      <w:pPr>
        <w:numPr>
          <w:ilvl w:val="0"/>
          <w:numId w:val="42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документування.</w:t>
      </w:r>
      <w:r/>
    </w:p>
    <w:p>
      <w:pPr>
        <w:contextualSpacing/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5.2. Склад 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проєктних</w:t>
      </w: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рішень</w:t>
      </w:r>
      <w:r/>
    </w:p>
    <w:p>
      <w:pPr>
        <w:ind w:right="-1"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Проєктні</w:t>
      </w:r>
      <w:r>
        <w:rPr>
          <w:rFonts w:ascii="Times New Roman" w:hAnsi="Times New Roman" w:eastAsia="Calibri" w:cs="Times New Roman"/>
          <w:sz w:val="24"/>
          <w:szCs w:val="24"/>
        </w:rPr>
        <w:t xml:space="preserve"> рішення зі створення ПАК ІКС 112 (далі - Документація) повинні описувати створення типового ПАК ІКС 112 одного з чотирьох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макрорегіонів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та технологічні рішення взаємодії між ними.</w:t>
      </w:r>
      <w:r/>
    </w:p>
    <w:p>
      <w:pPr>
        <w:contextualSpacing/>
        <w:ind w:firstLine="567"/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Склад Документації на ПАК:</w:t>
      </w:r>
      <w:r/>
    </w:p>
    <w:p>
      <w:pPr>
        <w:numPr>
          <w:ilvl w:val="0"/>
          <w:numId w:val="43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Пояснювальна записка, яка включає: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загальні положення;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загальний опис ПАК;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основні технічні рішення;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маршрутизації викликів;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 функцій, які автоматизуються в ПАК; 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 складових програмного забезпечення;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технічні рішення взаємодії між </w:t>
      </w:r>
      <w:r>
        <w:rPr>
          <w:rFonts w:ascii="Times New Roman" w:hAnsi="Times New Roman" w:eastAsia="Calibri" w:cs="Times New Roman"/>
          <w:sz w:val="24"/>
          <w:szCs w:val="24"/>
        </w:rPr>
        <w:t xml:space="preserve">макрорегіонами</w:t>
      </w:r>
      <w:r>
        <w:rPr>
          <w:rFonts w:ascii="Times New Roman" w:hAnsi="Times New Roman" w:eastAsia="Calibri" w:cs="Times New Roman"/>
          <w:sz w:val="24"/>
          <w:szCs w:val="24"/>
        </w:rPr>
        <w:t xml:space="preserve">;</w:t>
      </w:r>
      <w:r/>
    </w:p>
    <w:p>
      <w:pPr>
        <w:numPr>
          <w:ilvl w:val="0"/>
          <w:numId w:val="38"/>
        </w:numPr>
        <w:contextualSpacing/>
        <w:ind w:left="0"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заходи щодо підготовки об’єкта до введення ПАК у дію.</w:t>
      </w:r>
      <w:r/>
    </w:p>
    <w:p>
      <w:pPr>
        <w:numPr>
          <w:ilvl w:val="0"/>
          <w:numId w:val="43"/>
        </w:numPr>
        <w:contextualSpacing/>
        <w:ind w:left="993" w:hanging="42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функціональної структури яка описує:</w:t>
      </w:r>
      <w:r/>
    </w:p>
    <w:p>
      <w:pPr>
        <w:numPr>
          <w:ilvl w:val="0"/>
          <w:numId w:val="38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елементи функціональної структури ПАК, автоматизовані функції та комплекси задач;</w:t>
      </w:r>
      <w:r/>
    </w:p>
    <w:p>
      <w:pPr>
        <w:numPr>
          <w:ilvl w:val="0"/>
          <w:numId w:val="38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інформаційні зв’язки між елементами ПАК та із зовнішнім середовищем з коротким зазначенням змісту інформаційних сигналів/даних, що передаються по зв’язках (інформаційні входи, підпорядкування тощо);</w:t>
      </w:r>
      <w:r/>
    </w:p>
    <w:p>
      <w:pPr>
        <w:numPr>
          <w:ilvl w:val="0"/>
          <w:numId w:val="38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деталізовані схеми елементів функціональної структури (за потреби уточнення фунціоналу елементу).</w:t>
      </w:r>
      <w:r/>
    </w:p>
    <w:p>
      <w:pPr>
        <w:numPr>
          <w:ilvl w:val="0"/>
          <w:numId w:val="43"/>
        </w:numPr>
        <w:contextualSpacing/>
        <w:ind w:left="993" w:hanging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структурна технічних засобів ПАК. Схема та/або таблиця зовнішніх з’єднань/підключень елементів ПАК.</w:t>
      </w:r>
      <w:r/>
    </w:p>
    <w:p>
      <w:pPr>
        <w:numPr>
          <w:ilvl w:val="0"/>
          <w:numId w:val="43"/>
        </w:numPr>
        <w:contextualSpacing/>
        <w:ind w:left="993" w:hanging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Планувальні рішення з розміщення технічних засобів ПАК:</w:t>
      </w:r>
      <w:r/>
    </w:p>
    <w:p>
      <w:pPr>
        <w:numPr>
          <w:ilvl w:val="0"/>
          <w:numId w:val="38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розташування обладнання та кабельних трас об’єкту;</w:t>
      </w:r>
      <w:r/>
    </w:p>
    <w:p>
      <w:pPr>
        <w:numPr>
          <w:ilvl w:val="0"/>
          <w:numId w:val="38"/>
        </w:numPr>
        <w:contextualSpacing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ескізи встановлення технічних засобів в телекомунікаційних шафах ПАК.</w:t>
      </w:r>
      <w:r/>
    </w:p>
    <w:p>
      <w:pPr>
        <w:numPr>
          <w:ilvl w:val="0"/>
          <w:numId w:val="43"/>
        </w:numPr>
        <w:contextualSpacing/>
        <w:ind w:left="993" w:hanging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0" w:name="_Hlk150348624"/>
      <w:r>
        <w:rPr>
          <w:rFonts w:ascii="Times New Roman" w:hAnsi="Times New Roman" w:cs="Times New Roman"/>
          <w:sz w:val="24"/>
          <w:szCs w:val="24"/>
        </w:rPr>
        <w:t xml:space="preserve">Вимоги до об’єктів/приміщень для розміщення засобів ПАК.</w:t>
      </w:r>
      <w:bookmarkEnd w:id="10"/>
      <w:r/>
    </w:p>
    <w:p>
      <w:pPr>
        <w:numPr>
          <w:ilvl w:val="0"/>
          <w:numId w:val="43"/>
        </w:numPr>
        <w:contextualSpacing/>
        <w:ind w:left="993" w:hanging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Відомості обладнання та матеріалів (специфікація).</w:t>
      </w:r>
      <w:r/>
    </w:p>
    <w:p>
      <w:pPr>
        <w:numPr>
          <w:ilvl w:val="0"/>
          <w:numId w:val="43"/>
        </w:numPr>
        <w:contextualSpacing/>
        <w:ind w:left="993" w:hanging="426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Цінові характеристики обладнання та основні кошторисні розрахунки на створення ПАК.</w:t>
      </w:r>
      <w:r/>
    </w:p>
    <w:p>
      <w:pPr>
        <w:contextualSpacing/>
        <w:ind w:left="993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5.3. Вимоги до оформлення Документації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Оформлення Документації повинно бути узгоджено та відповідати  Технічному завданню на ПАК.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4"/>
        <w:ind w:left="0" w:firstLine="567"/>
        <w:jc w:val="both"/>
        <w:spacing w:after="0" w:line="240" w:lineRule="auto"/>
        <w:tabs>
          <w:tab w:val="center" w:pos="142" w:leader="none"/>
          <w:tab w:val="center" w:pos="993" w:leader="none"/>
        </w:tabs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Учасник якого визначено переможцем процедури закупівлі, перед укладанням договору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науково-технічну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 що підтверджує вартість вказаних послуг. У раз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2 280 536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вісімдесят тисяч п’ятсот тридцять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944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2664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24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84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7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8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222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66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82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82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542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287" w:hanging="360"/>
      </w:pPr>
      <w:rPr>
        <w:rFonts w:hint="default" w:ascii="Courier New" w:hAnsi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5"/>
  </w:num>
  <w:num w:numId="2">
    <w:abstractNumId w:val="21"/>
  </w:num>
  <w:num w:numId="3">
    <w:abstractNumId w:val="8"/>
  </w:num>
  <w:num w:numId="4">
    <w:abstractNumId w:val="29"/>
  </w:num>
  <w:num w:numId="5">
    <w:abstractNumId w:val="7"/>
  </w:num>
  <w:num w:numId="6">
    <w:abstractNumId w:val="36"/>
  </w:num>
  <w:num w:numId="7">
    <w:abstractNumId w:val="12"/>
  </w:num>
  <w:num w:numId="8">
    <w:abstractNumId w:val="38"/>
  </w:num>
  <w:num w:numId="9">
    <w:abstractNumId w:val="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9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7"/>
  </w:num>
  <w:num w:numId="17">
    <w:abstractNumId w:val="1"/>
  </w:num>
  <w:num w:numId="18">
    <w:abstractNumId w:val="41"/>
  </w:num>
  <w:num w:numId="19">
    <w:abstractNumId w:val="30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1"/>
  </w:num>
  <w:num w:numId="25">
    <w:abstractNumId w:val="22"/>
  </w:num>
  <w:num w:numId="26">
    <w:abstractNumId w:val="26"/>
  </w:num>
  <w:num w:numId="27">
    <w:abstractNumId w:val="33"/>
  </w:num>
  <w:num w:numId="28">
    <w:abstractNumId w:val="24"/>
  </w:num>
  <w:num w:numId="29">
    <w:abstractNumId w:val="34"/>
  </w:num>
  <w:num w:numId="30">
    <w:abstractNumId w:val="20"/>
  </w:num>
  <w:num w:numId="31">
    <w:abstractNumId w:val="3"/>
  </w:num>
  <w:num w:numId="32">
    <w:abstractNumId w:val="28"/>
  </w:num>
  <w:num w:numId="33">
    <w:abstractNumId w:val="40"/>
  </w:num>
  <w:num w:numId="34">
    <w:abstractNumId w:val="18"/>
  </w:num>
  <w:num w:numId="35">
    <w:abstractNumId w:val="19"/>
  </w:num>
  <w:num w:numId="36">
    <w:abstractNumId w:val="39"/>
  </w:num>
  <w:num w:numId="37">
    <w:abstractNumId w:val="23"/>
  </w:num>
  <w:num w:numId="38">
    <w:abstractNumId w:val="10"/>
  </w:num>
  <w:num w:numId="39">
    <w:abstractNumId w:val="4"/>
  </w:num>
  <w:num w:numId="40">
    <w:abstractNumId w:val="16"/>
  </w:num>
  <w:num w:numId="41">
    <w:abstractNumId w:val="0"/>
  </w:num>
  <w:num w:numId="42">
    <w:abstractNumId w:val="32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9"/>
    <w:next w:val="72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1"/>
    <w:link w:val="73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29"/>
    <w:next w:val="72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29"/>
    <w:next w:val="72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9"/>
    <w:next w:val="72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9"/>
    <w:next w:val="72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9"/>
    <w:next w:val="72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9"/>
    <w:next w:val="72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9"/>
    <w:next w:val="72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9"/>
    <w:next w:val="72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1"/>
    <w:link w:val="33"/>
    <w:uiPriority w:val="10"/>
    <w:rPr>
      <w:sz w:val="48"/>
      <w:szCs w:val="48"/>
    </w:rPr>
  </w:style>
  <w:style w:type="paragraph" w:styleId="35">
    <w:name w:val="Subtitle"/>
    <w:basedOn w:val="729"/>
    <w:next w:val="72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1"/>
    <w:link w:val="35"/>
    <w:uiPriority w:val="11"/>
    <w:rPr>
      <w:sz w:val="24"/>
      <w:szCs w:val="24"/>
    </w:rPr>
  </w:style>
  <w:style w:type="paragraph" w:styleId="37">
    <w:name w:val="Quote"/>
    <w:basedOn w:val="729"/>
    <w:next w:val="72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9"/>
    <w:next w:val="72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31"/>
    <w:link w:val="41"/>
    <w:uiPriority w:val="99"/>
  </w:style>
  <w:style w:type="character" w:styleId="44">
    <w:name w:val="Footer Char"/>
    <w:basedOn w:val="731"/>
    <w:link w:val="740"/>
    <w:uiPriority w:val="99"/>
  </w:style>
  <w:style w:type="paragraph" w:styleId="45">
    <w:name w:val="Caption"/>
    <w:basedOn w:val="729"/>
    <w:next w:val="7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0"/>
    <w:uiPriority w:val="99"/>
  </w:style>
  <w:style w:type="table" w:styleId="48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1"/>
    <w:uiPriority w:val="99"/>
    <w:unhideWhenUsed/>
    <w:rPr>
      <w:vertAlign w:val="superscript"/>
    </w:rPr>
  </w:style>
  <w:style w:type="paragraph" w:styleId="177">
    <w:name w:val="endnote text"/>
    <w:basedOn w:val="72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1"/>
    <w:uiPriority w:val="99"/>
    <w:semiHidden/>
    <w:unhideWhenUsed/>
    <w:rPr>
      <w:vertAlign w:val="superscript"/>
    </w:rPr>
  </w:style>
  <w:style w:type="paragraph" w:styleId="180">
    <w:name w:val="toc 1"/>
    <w:basedOn w:val="729"/>
    <w:next w:val="72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9"/>
    <w:next w:val="72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9"/>
    <w:next w:val="72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9"/>
    <w:next w:val="72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9"/>
    <w:next w:val="72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9"/>
    <w:next w:val="72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9"/>
    <w:next w:val="72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9"/>
    <w:next w:val="72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9"/>
    <w:next w:val="72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9"/>
    <w:next w:val="729"/>
    <w:uiPriority w:val="99"/>
    <w:unhideWhenUsed/>
    <w:pPr>
      <w:spacing w:after="0" w:afterAutospacing="0"/>
    </w:pPr>
  </w:style>
  <w:style w:type="paragraph" w:styleId="729" w:default="1">
    <w:name w:val="Normal"/>
    <w:qFormat/>
    <w:rPr>
      <w:lang w:val="uk-UA"/>
    </w:rPr>
  </w:style>
  <w:style w:type="paragraph" w:styleId="730">
    <w:name w:val="Heading 2"/>
    <w:basedOn w:val="729"/>
    <w:link w:val="74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List Paragraph"/>
    <w:basedOn w:val="729"/>
    <w:link w:val="7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5" w:customStyle="1">
    <w:name w:val="Абзац списку Знак"/>
    <w:link w:val="734"/>
    <w:uiPriority w:val="34"/>
    <w:qFormat/>
    <w:rPr>
      <w:rFonts w:ascii="Calibri" w:hAnsi="Calibri" w:eastAsia="Calibri" w:cs="Calibri"/>
      <w:lang w:eastAsia="zh-CN"/>
    </w:rPr>
  </w:style>
  <w:style w:type="table" w:styleId="736">
    <w:name w:val="Table Grid"/>
    <w:basedOn w:val="7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Сетка таблицы2"/>
    <w:basedOn w:val="732"/>
    <w:next w:val="73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Normal (Web)"/>
    <w:basedOn w:val="729"/>
    <w:link w:val="74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9" w:customStyle="1">
    <w:name w:val="Сетка таблицы1"/>
    <w:basedOn w:val="732"/>
    <w:next w:val="73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Footer"/>
    <w:basedOn w:val="729"/>
    <w:link w:val="74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1" w:customStyle="1">
    <w:name w:val="Нижній колонтитул Знак"/>
    <w:basedOn w:val="731"/>
    <w:link w:val="740"/>
    <w:uiPriority w:val="99"/>
    <w:rPr>
      <w:rFonts w:ascii="Calibri" w:hAnsi="Calibri" w:eastAsia="Calibri" w:cs="Calibri"/>
      <w:lang w:eastAsia="zh-CN"/>
    </w:rPr>
  </w:style>
  <w:style w:type="paragraph" w:styleId="74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3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4" w:customStyle="1">
    <w:name w:val="xfm_93972720"/>
    <w:basedOn w:val="731"/>
  </w:style>
  <w:style w:type="character" w:styleId="745" w:customStyle="1">
    <w:name w:val="Звичайний (веб) Знак"/>
    <w:link w:val="73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46">
    <w:name w:val="Body Text 2"/>
    <w:basedOn w:val="729"/>
    <w:link w:val="74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7" w:customStyle="1">
    <w:name w:val="Основний текст 2 Знак"/>
    <w:basedOn w:val="731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9" w:customStyle="1">
    <w:name w:val="Заголовок 2 Знак"/>
    <w:basedOn w:val="731"/>
    <w:link w:val="73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0">
    <w:name w:val="No Spacing"/>
    <w:link w:val="75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1" w:customStyle="1">
    <w:name w:val="Без інтервалів Знак"/>
    <w:basedOn w:val="731"/>
    <w:link w:val="750"/>
    <w:uiPriority w:val="1"/>
    <w:rPr>
      <w:rFonts w:ascii="Calibri" w:hAnsi="Calibri" w:eastAsia="Calibri" w:cs="Times New Roman"/>
      <w:lang w:val="uk-UA"/>
    </w:rPr>
  </w:style>
  <w:style w:type="character" w:styleId="752" w:customStyle="1">
    <w:name w:val="Другое_"/>
    <w:basedOn w:val="731"/>
    <w:link w:val="753"/>
    <w:rPr>
      <w:rFonts w:ascii="Calibri" w:hAnsi="Calibri" w:eastAsia="Calibri" w:cs="Calibri"/>
      <w:sz w:val="20"/>
      <w:szCs w:val="20"/>
    </w:rPr>
  </w:style>
  <w:style w:type="paragraph" w:styleId="753" w:customStyle="1">
    <w:name w:val="Другое"/>
    <w:basedOn w:val="729"/>
    <w:link w:val="75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5" w:customStyle="1">
    <w:name w:val="Основной текст (2)_"/>
    <w:basedOn w:val="731"/>
    <w:link w:val="756"/>
    <w:rPr>
      <w:rFonts w:eastAsia="Times New Roman" w:cs="Times New Roman"/>
      <w:shd w:val="clear" w:color="auto" w:fill="ffffff"/>
    </w:rPr>
  </w:style>
  <w:style w:type="paragraph" w:styleId="756" w:customStyle="1">
    <w:name w:val="Основной текст (2)"/>
    <w:basedOn w:val="729"/>
    <w:link w:val="75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7" w:customStyle="1">
    <w:name w:val="Текст у виносці Знак"/>
    <w:basedOn w:val="731"/>
    <w:link w:val="7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8">
    <w:name w:val="Balloon Text"/>
    <w:basedOn w:val="729"/>
    <w:link w:val="75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9" w:customStyle="1">
    <w:name w:val="Текст у виносці Знак1"/>
    <w:basedOn w:val="73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60" w:customStyle="1">
    <w:name w:val="T23"/>
    <w:rPr>
      <w:rFonts w:hint="default" w:ascii="Times New Roman" w:hAnsi="Times New Roman" w:eastAsia="Times New Roman1" w:cs="Times New Roman"/>
    </w:rPr>
  </w:style>
  <w:style w:type="paragraph" w:styleId="761" w:customStyle="1">
    <w:name w:val="Абзац списку1"/>
    <w:basedOn w:val="72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2" w:customStyle="1">
    <w:name w:val="markedcontent"/>
    <w:basedOn w:val="731"/>
  </w:style>
  <w:style w:type="paragraph" w:styleId="763">
    <w:name w:val="annotation text"/>
    <w:basedOn w:val="729"/>
    <w:link w:val="76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4" w:customStyle="1">
    <w:name w:val="Текст примітки Знак"/>
    <w:basedOn w:val="731"/>
    <w:link w:val="7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zakon.rada.gov.ua/laws/show/80/94-%D0%B2%D1%80" TargetMode="External"/><Relationship Id="rId12" Type="http://schemas.openxmlformats.org/officeDocument/2006/relationships/hyperlink" Target="https://zakon.rada.gov.ua/laws/show/2297-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2023-11-28T09:24:16Z</dcterms:modified>
</cp:coreProperties>
</file>