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1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вогнегасників та вказівників за кодом CPV за ЄЗС ДК 021:2015: 35110000-8 Протипожежне, рятувальне та захисне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3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019439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вогнегасників та вказівників за кодом CPV за ЄЗС ДК 021:2015: 35110000-8 Протипожежне, рятувальне та захисне обладнання</w:t>
      </w:r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pStyle w:val="714"/>
        <w:jc w:val="center"/>
        <w:spacing w:before="0" w:beforeAutospacing="0" w:after="0" w:afterAutospacing="0"/>
        <w:shd w:val="clear" w:color="auto" w:fill="ffffff" w:themeFill="background1"/>
        <w:rPr>
          <w:color w:val="585858"/>
          <w:sz w:val="24"/>
          <w:szCs w:val="24"/>
          <w:u w:val="single"/>
        </w:rPr>
      </w:pPr>
      <w:r/>
      <w:hyperlink r:id="rId11" w:tooltip="https://www.dzo.com.ua/tenders/17227183" w:history="1">
        <w:r>
          <w:rPr>
            <w:rStyle w:val="727"/>
            <w:color w:val="000000"/>
            <w:sz w:val="24"/>
            <w:szCs w:val="24"/>
          </w:rPr>
          <w:t xml:space="preserve"> Закупівля вогнегасників та вказівників за кодом CPV за ЄЗС ДК 021:2015: 35110000-8 Протипожежне, рятувальне та захисне обладнання </w:t>
        </w:r>
      </w:hyperlink>
      <w:r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2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 порошковий ВП-5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8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Вогнегасник вуглекислотний ВВК-2 (з</w:t>
            </w:r>
            <w:r>
              <w:rPr>
                <w:b/>
                <w:bCs/>
                <w:color w:val="000000"/>
              </w:rPr>
              <w:br/>
              <w:t xml:space="preserve">гумовими підставками)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12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5670" w:type="dxa"/>
            <w:vAlign w:val="center"/>
            <w:textDirection w:val="lrTb"/>
            <w:noWrap w:val="false"/>
          </w:tcPr>
          <w:p>
            <w:pPr>
              <w:pStyle w:val="722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Самоклеючий </w:t>
            </w:r>
            <w:r>
              <w:rPr>
                <w:b/>
                <w:bCs/>
                <w:color w:val="000000"/>
              </w:rPr>
              <w:t xml:space="preserve">вказіник</w:t>
            </w:r>
            <w:r>
              <w:rPr>
                <w:b/>
                <w:bCs/>
                <w:color w:val="000000"/>
              </w:rPr>
              <w:t xml:space="preserve"> пожежних вогнегасників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20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22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72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22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.</w:t>
      </w:r>
      <w:r/>
    </w:p>
    <w:p>
      <w:pPr>
        <w:pStyle w:val="722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/>
      <w:bookmarkStart w:id="1" w:name="_Hlk131598067"/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71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На обладнання (Товар), що пропонує Учасник, у складі своєї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пропозиції, повинен надати копію документу, що підтверджує відповідність виготовленої продукції діючим стандартам якості, нормативним документам України та/або сертифікованим технічним умовам виробництва (у разі необхідності сертифікації Товару).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71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718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720"/>
        <w:tblW w:w="9993" w:type="dxa"/>
        <w:tblLook w:val="04A0" w:firstRow="1" w:lastRow="0" w:firstColumn="1" w:lastColumn="0" w:noHBand="0" w:noVBand="1"/>
      </w:tblPr>
      <w:tblGrid>
        <w:gridCol w:w="455"/>
        <w:gridCol w:w="6911"/>
        <w:gridCol w:w="1208"/>
        <w:gridCol w:w="1404"/>
        <w:gridCol w:w="15"/>
      </w:tblGrid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/>
            <w:bookmarkStart w:id="3" w:name="_Hlk134167923"/>
            <w:r/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Вогнегасник порошковий ВП-5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3" w:type="dxa"/>
            <w:vAlign w:val="center"/>
            <w:textDirection w:val="lrTb"/>
            <w:noWrap w:val="false"/>
          </w:tcPr>
          <w:tbl>
            <w:tblPr>
              <w:tblW w:w="0" w:type="auto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4513"/>
              <w:gridCol w:w="3999"/>
            </w:tblGrid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Назва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Вогнегасник порошковий ВП-5 (ОП-5)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Код товару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000013406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Вага,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7,2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Гарантійний термін (міс)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Длинна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викидання (м)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&gt; 3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Максимальний тиск,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/см²)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1,6 МПа (16 бар)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заряду,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 зарядом,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7,2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Матеріал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Металл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Об'єм (л)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6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Площа гасіння (м²)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15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покриття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порошкове фарбування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Пожтехника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Ширина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160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Мова документації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український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Країна 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Стандарт виготовлення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Згідно ДСТУ/ГОСТ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Термін експлуатації, (років)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Комплектація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Виріб, паспорт, гарантійний талон.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Клас пожежі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А,В,С,Е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Діапазон робочих температур, (°C)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-20 … +50°C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Тиск при випробуванні,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/ 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 МПа</w:t>
                  </w:r>
                  <w:r/>
                </w:p>
              </w:tc>
            </w:tr>
            <w:tr>
              <w:trPr/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0" w:type="auto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Висота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0" w:type="auto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480</w:t>
                  </w:r>
                  <w:r/>
                </w:p>
              </w:tc>
            </w:tr>
          </w:tbl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bookmarkEnd w:id="3"/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Вогнегасник вуглекислотний ВВК-2 (з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 xml:space="preserve">гумовими підставками)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93" w:type="dxa"/>
            <w:vAlign w:val="center"/>
            <w:textDirection w:val="lrTb"/>
            <w:noWrap w:val="false"/>
          </w:tcPr>
          <w:tbl>
            <w:tblPr>
              <w:tblW w:w="8331" w:type="dxa"/>
              <w:tblInd w:w="164" w:type="dxa"/>
              <w:tblCellMar>
                <w:left w:w="15" w:type="dxa"/>
                <w:top w:w="15" w:type="dxa"/>
                <w:right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5245"/>
              <w:gridCol w:w="3086"/>
            </w:tblGrid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Назва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Вогнегасник вуглекислотний ВВК-2 (ОУ-3)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Вага,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8.8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Висота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599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Гарантійний термін (міс)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12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Тиск при випробуванні,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/ 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25 МПа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Длинна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викидання (м)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&gt; 3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Комплектація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Виріб, паспорт, гарантійний талон.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Максимальний тиск, МПа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кгс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/см²)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15,0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мПа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 (150 бар)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Об'єм (л)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3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Площа гасіння (м²)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Робочий тиск (МПа)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5.7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Виробник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Пожтехника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Тривалість подачі вогнегасної речовини, (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сек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покриття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порошкове фарбування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Ширина (мм)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108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Мова документації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український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Матеріал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Металл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 зарядом,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8.8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Маса заряду, (кг)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2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Клас пожежі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В,С,Е</w:t>
                  </w:r>
                  <w:r/>
                </w:p>
              </w:tc>
            </w:tr>
            <w:tr>
              <w:trPr>
                <w:trHeight w:val="207"/>
              </w:trPr>
              <w:tc>
                <w:tcPr>
                  <w:tcMar>
                    <w:left w:w="0" w:type="dxa"/>
                    <w:top w:w="60" w:type="dxa"/>
                    <w:right w:w="450" w:type="dxa"/>
                    <w:bottom w:w="60" w:type="dxa"/>
                  </w:tcMar>
                  <w:tcW w:w="5245" w:type="dxa"/>
                  <w:vAlign w:val="bottom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Діапазон робочих температур, (°C)</w:t>
                  </w:r>
                  <w:r/>
                </w:p>
              </w:tc>
              <w:tc>
                <w:tcPr>
                  <w:tcMar>
                    <w:left w:w="0" w:type="dxa"/>
                    <w:top w:w="60" w:type="dxa"/>
                    <w:right w:w="0" w:type="dxa"/>
                    <w:bottom w:w="60" w:type="dxa"/>
                  </w:tcMar>
                  <w:tcW w:w="3086" w:type="dxa"/>
                  <w:vAlign w:val="center"/>
                  <w:textDirection w:val="lrTb"/>
                  <w:noWrap w:val="false"/>
                </w:tcPr>
                <w:p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  <w:t xml:space="preserve">-20 … +50°C</w:t>
                  </w:r>
                  <w:r/>
                </w:p>
              </w:tc>
            </w:tr>
          </w:tbl>
          <w:p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</w:r>
            <w:r/>
          </w:p>
        </w:tc>
      </w:tr>
      <w:tr>
        <w:trPr>
          <w:gridAfter w:val="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5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11" w:type="dxa"/>
            <w:vAlign w:val="center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Самоклеючий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вказіник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пожежних вогнегасників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04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</w:t>
            </w:r>
            <w:r/>
          </w:p>
        </w:tc>
      </w:tr>
      <w:tr>
        <w:trPr>
          <w:gridAfter w:val="1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97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2135369" cy="2326663"/>
                      <wp:effectExtent l="0" t="0" r="0" b="0"/>
                      <wp:docPr id="1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2135369" cy="23266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168.1pt;height:183.2pt;mso-wrap-distance-left:0.0pt;mso-wrap-distance-top:0.0pt;mso-wrap-distance-right:0.0pt;mso-wrap-distance-bottom:0.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</w:t>
      </w:r>
      <w:r>
        <w:rPr>
          <w:rFonts w:ascii="Times New Roman" w:hAnsi="Times New Roman" w:cs="Times New Roman"/>
          <w:i/>
          <w:sz w:val="24"/>
          <w:szCs w:val="24"/>
        </w:rPr>
        <w:t xml:space="preserve">ги, умовні позначення та термінологію, пов’язані з товарами, роботами чи послугами, що закуповуються, передбачені існуючими міжнародними, європейськими стандартами, іншими спільними технічними європейськими нормами, іншими технічними еталонними системами, </w:t>
      </w:r>
      <w:r>
        <w:rPr>
          <w:rFonts w:ascii="Times New Roman" w:hAnsi="Times New Roman" w:cs="Times New Roman"/>
          <w:i/>
          <w:sz w:val="24"/>
          <w:szCs w:val="24"/>
        </w:rPr>
        <w:t xml:space="preserve">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16 569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шістнадцять тисяч п’ятсот шістдесят дев’ять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9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50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4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4"/>
  </w:num>
  <w:num w:numId="5">
    <w:abstractNumId w:val="6"/>
  </w:num>
  <w:num w:numId="6">
    <w:abstractNumId w:val="30"/>
  </w:num>
  <w:num w:numId="7">
    <w:abstractNumId w:val="10"/>
  </w:num>
  <w:num w:numId="8">
    <w:abstractNumId w:val="32"/>
  </w:num>
  <w:num w:numId="9">
    <w:abstractNumId w:val="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8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31"/>
  </w:num>
  <w:num w:numId="17">
    <w:abstractNumId w:val="0"/>
  </w:num>
  <w:num w:numId="18">
    <w:abstractNumId w:val="33"/>
  </w:num>
  <w:num w:numId="19">
    <w:abstractNumId w:val="2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6"/>
  </w:num>
  <w:num w:numId="25">
    <w:abstractNumId w:val="19"/>
  </w:num>
  <w:num w:numId="26">
    <w:abstractNumId w:val="22"/>
  </w:num>
  <w:num w:numId="27">
    <w:abstractNumId w:val="27"/>
  </w:num>
  <w:num w:numId="28">
    <w:abstractNumId w:val="20"/>
  </w:num>
  <w:num w:numId="29">
    <w:abstractNumId w:val="28"/>
  </w:num>
  <w:num w:numId="30">
    <w:abstractNumId w:val="16"/>
  </w:num>
  <w:num w:numId="31">
    <w:abstractNumId w:val="2"/>
  </w:num>
  <w:num w:numId="32">
    <w:abstractNumId w:val="15"/>
  </w:num>
  <w:num w:numId="33">
    <w:abstractNumId w:val="13"/>
  </w:num>
  <w:num w:numId="34">
    <w:abstractNumId w:val="5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13"/>
    <w:next w:val="71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1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5"/>
    <w:link w:val="7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13"/>
    <w:next w:val="71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3"/>
    <w:next w:val="71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3"/>
    <w:next w:val="71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3"/>
    <w:next w:val="71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3"/>
    <w:next w:val="71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3"/>
    <w:next w:val="71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3"/>
    <w:next w:val="71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13"/>
    <w:next w:val="71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15"/>
    <w:link w:val="33"/>
    <w:uiPriority w:val="10"/>
    <w:rPr>
      <w:sz w:val="48"/>
      <w:szCs w:val="48"/>
    </w:rPr>
  </w:style>
  <w:style w:type="paragraph" w:styleId="35">
    <w:name w:val="Subtitle"/>
    <w:basedOn w:val="713"/>
    <w:next w:val="71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5"/>
    <w:link w:val="35"/>
    <w:uiPriority w:val="11"/>
    <w:rPr>
      <w:sz w:val="24"/>
      <w:szCs w:val="24"/>
    </w:rPr>
  </w:style>
  <w:style w:type="paragraph" w:styleId="37">
    <w:name w:val="Quote"/>
    <w:basedOn w:val="713"/>
    <w:next w:val="71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3"/>
    <w:next w:val="71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5"/>
    <w:link w:val="41"/>
    <w:uiPriority w:val="99"/>
  </w:style>
  <w:style w:type="character" w:styleId="44">
    <w:name w:val="Footer Char"/>
    <w:basedOn w:val="715"/>
    <w:link w:val="724"/>
    <w:uiPriority w:val="99"/>
  </w:style>
  <w:style w:type="paragraph" w:styleId="45">
    <w:name w:val="Caption"/>
    <w:basedOn w:val="713"/>
    <w:next w:val="7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24"/>
    <w:uiPriority w:val="99"/>
  </w:style>
  <w:style w:type="table" w:styleId="48">
    <w:name w:val="Table Grid Light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1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5"/>
    <w:uiPriority w:val="99"/>
    <w:unhideWhenUsed/>
    <w:rPr>
      <w:vertAlign w:val="superscript"/>
    </w:rPr>
  </w:style>
  <w:style w:type="paragraph" w:styleId="177">
    <w:name w:val="endnote text"/>
    <w:basedOn w:val="71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5"/>
    <w:uiPriority w:val="99"/>
    <w:semiHidden/>
    <w:unhideWhenUsed/>
    <w:rPr>
      <w:vertAlign w:val="superscript"/>
    </w:rPr>
  </w:style>
  <w:style w:type="paragraph" w:styleId="180">
    <w:name w:val="toc 1"/>
    <w:basedOn w:val="713"/>
    <w:next w:val="71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3"/>
    <w:next w:val="71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3"/>
    <w:next w:val="71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3"/>
    <w:next w:val="71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3"/>
    <w:next w:val="71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3"/>
    <w:next w:val="71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3"/>
    <w:next w:val="71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3"/>
    <w:next w:val="71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3"/>
    <w:next w:val="71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3"/>
    <w:next w:val="713"/>
    <w:uiPriority w:val="99"/>
    <w:unhideWhenUsed/>
    <w:pPr>
      <w:spacing w:after="0" w:afterAutospacing="0"/>
    </w:pPr>
  </w:style>
  <w:style w:type="paragraph" w:styleId="713" w:default="1">
    <w:name w:val="Normal"/>
    <w:qFormat/>
    <w:rPr>
      <w:lang w:val="uk-UA"/>
    </w:rPr>
  </w:style>
  <w:style w:type="paragraph" w:styleId="714">
    <w:name w:val="Heading 2"/>
    <w:basedOn w:val="713"/>
    <w:link w:val="73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15" w:default="1">
    <w:name w:val="Default Paragraph Font"/>
    <w:uiPriority w:val="1"/>
    <w:semiHidden/>
    <w:unhideWhenUsed/>
  </w:style>
  <w:style w:type="table" w:styleId="7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7" w:default="1">
    <w:name w:val="No List"/>
    <w:uiPriority w:val="99"/>
    <w:semiHidden/>
    <w:unhideWhenUsed/>
  </w:style>
  <w:style w:type="paragraph" w:styleId="718">
    <w:name w:val="List Paragraph"/>
    <w:basedOn w:val="713"/>
    <w:link w:val="71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9" w:customStyle="1">
    <w:name w:val="Абзац списку Знак"/>
    <w:link w:val="718"/>
    <w:uiPriority w:val="34"/>
    <w:qFormat/>
    <w:rPr>
      <w:rFonts w:ascii="Calibri" w:hAnsi="Calibri" w:eastAsia="Calibri" w:cs="Calibri"/>
      <w:lang w:eastAsia="zh-CN"/>
    </w:rPr>
  </w:style>
  <w:style w:type="table" w:styleId="720">
    <w:name w:val="Table Grid"/>
    <w:basedOn w:val="7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21" w:customStyle="1">
    <w:name w:val="Сетка таблицы2"/>
    <w:basedOn w:val="716"/>
    <w:next w:val="72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2">
    <w:name w:val="Normal (Web)"/>
    <w:basedOn w:val="713"/>
    <w:link w:val="729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23" w:customStyle="1">
    <w:name w:val="Сетка таблицы1"/>
    <w:basedOn w:val="716"/>
    <w:next w:val="72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24">
    <w:name w:val="Footer"/>
    <w:basedOn w:val="713"/>
    <w:link w:val="72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25" w:customStyle="1">
    <w:name w:val="Нижній колонтитул Знак"/>
    <w:basedOn w:val="715"/>
    <w:link w:val="724"/>
    <w:uiPriority w:val="99"/>
    <w:rPr>
      <w:rFonts w:ascii="Calibri" w:hAnsi="Calibri" w:eastAsia="Calibri" w:cs="Calibri"/>
      <w:lang w:eastAsia="zh-CN"/>
    </w:rPr>
  </w:style>
  <w:style w:type="paragraph" w:styleId="72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27">
    <w:name w:val="Hyperlink"/>
    <w:basedOn w:val="715"/>
    <w:uiPriority w:val="99"/>
    <w:unhideWhenUsed/>
    <w:rPr>
      <w:color w:val="0563c1" w:themeColor="hyperlink"/>
      <w:u w:val="single"/>
    </w:rPr>
  </w:style>
  <w:style w:type="character" w:styleId="728" w:customStyle="1">
    <w:name w:val="xfm_93972720"/>
    <w:basedOn w:val="715"/>
  </w:style>
  <w:style w:type="character" w:styleId="729" w:customStyle="1">
    <w:name w:val="Звичайний (веб) Знак"/>
    <w:link w:val="722"/>
    <w:qFormat/>
    <w:rPr>
      <w:rFonts w:ascii="Times New Roman" w:hAnsi="Times New Roman" w:cs="Times New Roman"/>
      <w:sz w:val="24"/>
      <w:szCs w:val="24"/>
      <w:lang w:val="uk-UA"/>
    </w:rPr>
  </w:style>
  <w:style w:type="paragraph" w:styleId="730">
    <w:name w:val="Body Text 2"/>
    <w:basedOn w:val="713"/>
    <w:link w:val="73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31" w:customStyle="1">
    <w:name w:val="Основний текст 2 Знак"/>
    <w:basedOn w:val="715"/>
    <w:link w:val="73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3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33" w:customStyle="1">
    <w:name w:val="Заголовок 2 Знак"/>
    <w:basedOn w:val="715"/>
    <w:link w:val="71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34">
    <w:name w:val="No Spacing"/>
    <w:link w:val="73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35" w:customStyle="1">
    <w:name w:val="Без інтервалів Знак"/>
    <w:basedOn w:val="715"/>
    <w:link w:val="734"/>
    <w:uiPriority w:val="1"/>
    <w:rPr>
      <w:rFonts w:ascii="Calibri" w:hAnsi="Calibri" w:eastAsia="Calibri" w:cs="Times New Roman"/>
      <w:lang w:val="uk-UA"/>
    </w:rPr>
  </w:style>
  <w:style w:type="character" w:styleId="736" w:customStyle="1">
    <w:name w:val="Другое_"/>
    <w:basedOn w:val="715"/>
    <w:link w:val="737"/>
    <w:rPr>
      <w:rFonts w:ascii="Calibri" w:hAnsi="Calibri" w:eastAsia="Calibri" w:cs="Calibri"/>
      <w:sz w:val="20"/>
      <w:szCs w:val="20"/>
    </w:rPr>
  </w:style>
  <w:style w:type="paragraph" w:styleId="737" w:customStyle="1">
    <w:name w:val="Другое"/>
    <w:basedOn w:val="713"/>
    <w:link w:val="73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9" w:customStyle="1">
    <w:name w:val="Основной текст (2)_"/>
    <w:basedOn w:val="715"/>
    <w:link w:val="740"/>
    <w:rPr>
      <w:rFonts w:eastAsia="Times New Roman" w:cs="Times New Roman"/>
      <w:shd w:val="clear" w:color="auto" w:fill="ffffff"/>
    </w:rPr>
  </w:style>
  <w:style w:type="paragraph" w:styleId="740" w:customStyle="1">
    <w:name w:val="Основной текст (2)"/>
    <w:basedOn w:val="713"/>
    <w:link w:val="73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41" w:customStyle="1">
    <w:name w:val="Текст у виносці Знак"/>
    <w:basedOn w:val="715"/>
    <w:link w:val="74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42">
    <w:name w:val="Balloon Text"/>
    <w:basedOn w:val="713"/>
    <w:link w:val="74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43" w:customStyle="1">
    <w:name w:val="Текст у виносці Знак1"/>
    <w:basedOn w:val="71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44" w:customStyle="1">
    <w:name w:val="T23"/>
    <w:rPr>
      <w:rFonts w:hint="default" w:ascii="Times New Roman" w:hAnsi="Times New Roman" w:eastAsia="Times New Roman1" w:cs="Times New Roman"/>
    </w:rPr>
  </w:style>
  <w:style w:type="paragraph" w:styleId="745" w:customStyle="1">
    <w:name w:val="Абзац списку1"/>
    <w:basedOn w:val="71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46" w:customStyle="1">
    <w:name w:val="markedcontent"/>
    <w:basedOn w:val="715"/>
  </w:style>
  <w:style w:type="paragraph" w:styleId="747">
    <w:name w:val="annotation text"/>
    <w:basedOn w:val="713"/>
    <w:link w:val="748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8" w:customStyle="1">
    <w:name w:val="Текст примітки Знак"/>
    <w:basedOn w:val="715"/>
    <w:link w:val="747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dzo.com.ua/tenders/17227183" TargetMode="External"/><Relationship Id="rId12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150</cp:revision>
  <dcterms:created xsi:type="dcterms:W3CDTF">2022-11-01T12:47:00Z</dcterms:created>
  <dcterms:modified xsi:type="dcterms:W3CDTF">2023-12-13T21:47:21Z</dcterms:modified>
</cp:coreProperties>
</file>