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Закупівля електричної енергії за ДК 021:2015: 09310000-5 Електрична енергія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UA-2024-09-12-008729-а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Закупівля електричної енергії за ДК 021:2015: 09310000-5 Електрична енергія</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bookmarkStart w:id="0" w:name="_Hlk163655665"/>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5671"/>
        <w:gridCol w:w="1700"/>
        <w:gridCol w:w="1701"/>
      </w:tblGrid>
      <w:tr>
        <w:trPr/>
        <w:tc>
          <w:tcPr>
            <w:tcW w:w="561" w:type="dxa"/>
            <w:tcBorders/>
          </w:tcPr>
          <w:p>
            <w:pPr>
              <w:pStyle w:val="NormalWeb"/>
              <w:widowControl/>
              <w:spacing w:lineRule="auto" w:line="240" w:before="0" w:after="0"/>
              <w:jc w:val="center"/>
              <w:rPr>
                <w:b/>
                <w:b/>
                <w:bCs/>
              </w:rPr>
            </w:pPr>
            <w:r>
              <w:rPr>
                <w:rFonts w:eastAsia="Calibri"/>
                <w:b/>
                <w:bCs/>
                <w:kern w:val="0"/>
                <w:lang w:eastAsia="en-US" w:bidi="ar-SA"/>
              </w:rPr>
              <w:t xml:space="preserve">№ </w:t>
            </w:r>
            <w:r>
              <w:rPr>
                <w:rFonts w:eastAsia="Calibri"/>
                <w:b/>
                <w:bCs/>
                <w:kern w:val="0"/>
                <w:lang w:eastAsia="en-US" w:bidi="ar-SA"/>
              </w:rPr>
              <w:t>п/п</w:t>
            </w:r>
          </w:p>
        </w:tc>
        <w:tc>
          <w:tcPr>
            <w:tcW w:w="5671" w:type="dxa"/>
            <w:tcBorders/>
          </w:tcPr>
          <w:p>
            <w:pPr>
              <w:pStyle w:val="NormalWeb"/>
              <w:widowControl/>
              <w:spacing w:lineRule="auto" w:line="240" w:before="0" w:after="0"/>
              <w:jc w:val="center"/>
              <w:rPr>
                <w:b/>
                <w:b/>
                <w:bCs/>
              </w:rPr>
            </w:pPr>
            <w:r>
              <w:rPr>
                <w:rFonts w:eastAsia="Calibri"/>
                <w:b/>
                <w:bCs/>
                <w:kern w:val="0"/>
                <w:lang w:eastAsia="en-US" w:bidi="ar-SA"/>
              </w:rPr>
              <w:t>Назва системи</w:t>
            </w:r>
          </w:p>
        </w:tc>
        <w:tc>
          <w:tcPr>
            <w:tcW w:w="1700" w:type="dxa"/>
            <w:tcBorders/>
          </w:tcPr>
          <w:p>
            <w:pPr>
              <w:pStyle w:val="NormalWeb"/>
              <w:widowControl/>
              <w:spacing w:lineRule="auto" w:line="240" w:before="0" w:after="0"/>
              <w:jc w:val="center"/>
              <w:rPr>
                <w:b/>
                <w:b/>
                <w:bCs/>
              </w:rPr>
            </w:pPr>
            <w:r>
              <w:rPr>
                <w:rFonts w:eastAsia="Calibri"/>
                <w:b/>
                <w:bCs/>
                <w:kern w:val="0"/>
                <w:lang w:eastAsia="en-US" w:bidi="ar-SA"/>
              </w:rPr>
              <w:t>Одиниця виміру</w:t>
            </w:r>
          </w:p>
        </w:tc>
        <w:tc>
          <w:tcPr>
            <w:tcW w:w="1701" w:type="dxa"/>
            <w:tcBorders/>
          </w:tcPr>
          <w:p>
            <w:pPr>
              <w:pStyle w:val="NormalWeb"/>
              <w:widowControl/>
              <w:spacing w:lineRule="auto" w:line="240" w:before="0" w:after="0"/>
              <w:jc w:val="center"/>
              <w:rPr>
                <w:b/>
                <w:b/>
                <w:bCs/>
              </w:rPr>
            </w:pPr>
            <w:r>
              <w:rPr>
                <w:rFonts w:eastAsia="Calibri"/>
                <w:b/>
                <w:bCs/>
                <w:kern w:val="0"/>
                <w:lang w:eastAsia="en-US" w:bidi="ar-SA"/>
              </w:rPr>
              <w:t>Кількість</w:t>
            </w:r>
          </w:p>
        </w:tc>
      </w:tr>
      <w:tr>
        <w:trPr/>
        <w:tc>
          <w:tcPr>
            <w:tcW w:w="561" w:type="dxa"/>
            <w:tcBorders/>
            <w:vAlign w:val="center"/>
          </w:tcPr>
          <w:p>
            <w:pPr>
              <w:pStyle w:val="NormalWeb"/>
              <w:widowControl/>
              <w:spacing w:lineRule="auto" w:line="240" w:before="0" w:after="0"/>
              <w:jc w:val="center"/>
              <w:rPr>
                <w:b/>
                <w:b/>
                <w:bCs/>
              </w:rPr>
            </w:pPr>
            <w:r>
              <w:rPr>
                <w:rFonts w:eastAsia="Calibri"/>
                <w:b/>
                <w:bCs/>
                <w:kern w:val="0"/>
                <w:lang w:eastAsia="en-US" w:bidi="ar-SA"/>
              </w:rPr>
              <w:t>1</w:t>
            </w:r>
          </w:p>
        </w:tc>
        <w:tc>
          <w:tcPr>
            <w:tcW w:w="5671" w:type="dxa"/>
            <w:tcBorders/>
            <w:vAlign w:val="center"/>
          </w:tcPr>
          <w:p>
            <w:pPr>
              <w:pStyle w:val="NormalWeb"/>
              <w:widowControl/>
              <w:spacing w:lineRule="auto" w:line="240" w:before="0" w:after="0"/>
              <w:jc w:val="left"/>
              <w:rPr>
                <w:b/>
                <w:b/>
                <w:bCs/>
              </w:rPr>
            </w:pPr>
            <w:r>
              <w:rPr>
                <w:rFonts w:eastAsia="Calibri"/>
                <w:b/>
                <w:kern w:val="0"/>
                <w:lang w:val="ru-RU" w:eastAsia="en-US" w:bidi="ar-SA"/>
              </w:rPr>
              <w:t>Автоматизоване робоче місце №1</w:t>
            </w:r>
          </w:p>
        </w:tc>
        <w:tc>
          <w:tcPr>
            <w:tcW w:w="1700" w:type="dxa"/>
            <w:tcBorders/>
            <w:vAlign w:val="center"/>
          </w:tcPr>
          <w:p>
            <w:pPr>
              <w:pStyle w:val="NormalWeb"/>
              <w:widowControl/>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spacing w:lineRule="auto" w:line="240" w:before="0" w:after="0"/>
              <w:jc w:val="center"/>
              <w:rPr>
                <w:b/>
                <w:b/>
                <w:bCs/>
              </w:rPr>
            </w:pPr>
            <w:r>
              <w:rPr>
                <w:rFonts w:eastAsia="Calibri"/>
                <w:b/>
                <w:bCs/>
                <w:kern w:val="0"/>
                <w:lang w:eastAsia="en-US" w:bidi="ar-SA"/>
              </w:rPr>
              <w:t>1</w:t>
            </w:r>
          </w:p>
        </w:tc>
      </w:tr>
      <w:tr>
        <w:trPr/>
        <w:tc>
          <w:tcPr>
            <w:tcW w:w="561" w:type="dxa"/>
            <w:tcBorders/>
            <w:vAlign w:val="center"/>
          </w:tcPr>
          <w:p>
            <w:pPr>
              <w:pStyle w:val="NormalWeb"/>
              <w:widowControl/>
              <w:spacing w:lineRule="auto" w:line="240" w:before="0" w:after="0"/>
              <w:jc w:val="center"/>
              <w:rPr>
                <w:b/>
                <w:b/>
                <w:bCs/>
              </w:rPr>
            </w:pPr>
            <w:r>
              <w:rPr>
                <w:rFonts w:eastAsia="Calibri"/>
                <w:b/>
                <w:bCs/>
                <w:kern w:val="0"/>
                <w:lang w:eastAsia="en-US" w:bidi="ar-SA"/>
              </w:rPr>
              <w:t>2</w:t>
            </w:r>
          </w:p>
        </w:tc>
        <w:tc>
          <w:tcPr>
            <w:tcW w:w="5671" w:type="dxa"/>
            <w:tcBorders/>
            <w:vAlign w:val="center"/>
          </w:tcPr>
          <w:p>
            <w:pPr>
              <w:pStyle w:val="NormalWeb"/>
              <w:widowControl/>
              <w:spacing w:lineRule="auto" w:line="240" w:before="0" w:after="0"/>
              <w:jc w:val="left"/>
              <w:rPr>
                <w:b/>
                <w:b/>
                <w:lang w:val="ru-RU"/>
              </w:rPr>
            </w:pPr>
            <w:r>
              <w:rPr>
                <w:rFonts w:eastAsia="Calibri"/>
                <w:b/>
                <w:kern w:val="0"/>
                <w:lang w:val="ru-RU" w:eastAsia="en-US" w:bidi="ar-SA"/>
              </w:rPr>
              <w:t>Автоматизоване робоче місце №2</w:t>
            </w:r>
          </w:p>
        </w:tc>
        <w:tc>
          <w:tcPr>
            <w:tcW w:w="1700" w:type="dxa"/>
            <w:tcBorders/>
            <w:vAlign w:val="center"/>
          </w:tcPr>
          <w:p>
            <w:pPr>
              <w:pStyle w:val="NormalWeb"/>
              <w:widowControl/>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spacing w:lineRule="auto" w:line="240" w:before="0" w:after="0"/>
              <w:jc w:val="center"/>
              <w:rPr>
                <w:b/>
                <w:b/>
                <w:bCs/>
              </w:rPr>
            </w:pPr>
            <w:r>
              <w:rPr>
                <w:rFonts w:eastAsia="Calibri"/>
                <w:b/>
                <w:bCs/>
                <w:kern w:val="0"/>
                <w:lang w:eastAsia="en-US" w:bidi="ar-SA"/>
              </w:rPr>
              <w:t>2</w:t>
            </w:r>
          </w:p>
        </w:tc>
      </w:tr>
      <w:tr>
        <w:trPr/>
        <w:tc>
          <w:tcPr>
            <w:tcW w:w="561" w:type="dxa"/>
            <w:tcBorders/>
            <w:vAlign w:val="center"/>
          </w:tcPr>
          <w:p>
            <w:pPr>
              <w:pStyle w:val="NormalWeb"/>
              <w:widowControl/>
              <w:spacing w:lineRule="auto" w:line="240" w:before="0" w:after="0"/>
              <w:jc w:val="center"/>
              <w:rPr>
                <w:b/>
                <w:b/>
                <w:bCs/>
              </w:rPr>
            </w:pPr>
            <w:r>
              <w:rPr>
                <w:rFonts w:eastAsia="Calibri"/>
                <w:b/>
                <w:bCs/>
                <w:kern w:val="0"/>
                <w:lang w:eastAsia="en-US" w:bidi="ar-SA"/>
              </w:rPr>
              <w:t>3</w:t>
            </w:r>
          </w:p>
        </w:tc>
        <w:tc>
          <w:tcPr>
            <w:tcW w:w="5671" w:type="dxa"/>
            <w:tcBorders/>
            <w:vAlign w:val="center"/>
          </w:tcPr>
          <w:p>
            <w:pPr>
              <w:pStyle w:val="NormalWeb"/>
              <w:widowControl/>
              <w:spacing w:lineRule="auto" w:line="240" w:before="0" w:after="0"/>
              <w:jc w:val="left"/>
              <w:rPr>
                <w:b/>
                <w:b/>
                <w:lang w:val="ru-RU"/>
              </w:rPr>
            </w:pPr>
            <w:r>
              <w:rPr>
                <w:rFonts w:eastAsia="Calibri"/>
                <w:b/>
                <w:kern w:val="0"/>
                <w:lang w:val="ru-RU" w:eastAsia="en-US" w:bidi="ar-SA"/>
              </w:rPr>
              <w:t>Автоматизоване робоче місце №3</w:t>
            </w:r>
          </w:p>
        </w:tc>
        <w:tc>
          <w:tcPr>
            <w:tcW w:w="1700" w:type="dxa"/>
            <w:tcBorders/>
            <w:vAlign w:val="center"/>
          </w:tcPr>
          <w:p>
            <w:pPr>
              <w:pStyle w:val="NormalWeb"/>
              <w:widowControl/>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spacing w:lineRule="auto" w:line="240" w:before="0" w:after="0"/>
              <w:jc w:val="center"/>
              <w:rPr>
                <w:b/>
                <w:b/>
                <w:bCs/>
              </w:rPr>
            </w:pPr>
            <w:r>
              <w:rPr>
                <w:rFonts w:eastAsia="Calibri"/>
                <w:b/>
                <w:bCs/>
                <w:kern w:val="0"/>
                <w:lang w:eastAsia="en-US" w:bidi="ar-SA"/>
              </w:rPr>
              <w:t>7</w:t>
            </w:r>
          </w:p>
        </w:tc>
      </w:tr>
    </w:tbl>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jc w:val="both"/>
        <w:rPr>
          <w:b/>
          <w:b/>
          <w:bCs/>
          <w:i/>
          <w:i/>
          <w:iCs/>
          <w:lang w:eastAsia="ru-RU"/>
        </w:rPr>
      </w:pPr>
      <w:r>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pPr>
        <w:pStyle w:val="NormalWeb"/>
        <w:spacing w:lineRule="auto" w:line="240" w:before="0" w:after="0"/>
        <w:jc w:val="both"/>
        <w:rPr>
          <w:b/>
          <w:b/>
          <w:bCs/>
          <w:i/>
          <w:i/>
          <w:iCs/>
          <w:lang w:eastAsia="ru-RU"/>
        </w:rPr>
      </w:pPr>
      <w:r>
        <w:rPr>
          <w:b/>
          <w:bCs/>
          <w:i/>
          <w:iCs/>
          <w:lang w:eastAsia="ru-RU"/>
        </w:rPr>
      </w:r>
    </w:p>
    <w:p>
      <w:pPr>
        <w:pStyle w:val="Normal"/>
        <w:spacing w:lineRule="auto" w:line="240" w:before="0" w:after="0"/>
        <w:ind w:firstLine="567"/>
        <w:jc w:val="both"/>
        <w:rPr>
          <w:rFonts w:ascii="Times New Roman" w:hAnsi="Times New Roman" w:cs="Times New Roman"/>
          <w:sz w:val="24"/>
          <w:szCs w:val="24"/>
          <w:lang w:eastAsia="uk-UA"/>
        </w:rPr>
      </w:pPr>
      <w:r>
        <w:rPr>
          <w:rFonts w:cs="Times New Roman" w:ascii="Times New Roman" w:hAnsi="Times New Roman"/>
          <w:color w:val="000000"/>
          <w:sz w:val="24"/>
          <w:szCs w:val="24"/>
        </w:rPr>
        <w:t>Характеристики товару повинні відповідати вимогам або бути кращими тих, які наведені в таблиці.</w:t>
      </w:r>
      <w:r>
        <w:rPr>
          <w:rFonts w:cs="Times New Roman" w:ascii="Times New Roman" w:hAnsi="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pPr>
        <w:pStyle w:val="Normal"/>
        <w:spacing w:lineRule="auto" w:line="240" w:before="0" w:after="0"/>
        <w:jc w:val="both"/>
        <w:rPr>
          <w:rFonts w:ascii="Times New Roman" w:hAnsi="Times New Roman" w:cs="Times New Roman"/>
          <w:sz w:val="24"/>
          <w:szCs w:val="24"/>
          <w:lang w:eastAsia="ar-SA"/>
        </w:rPr>
      </w:pPr>
      <w:r>
        <w:rPr>
          <w:rFonts w:eastAsia="Calibri" w:cs="Times New Roman" w:ascii="Times New Roman" w:hAnsi="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cs="Times New Roman" w:ascii="Times New Roman" w:hAnsi="Times New Roman"/>
          <w:sz w:val="24"/>
          <w:szCs w:val="24"/>
          <w:lang w:eastAsia="ar-SA"/>
        </w:rPr>
        <w:t xml:space="preserve">Учасник повинен забезпечити обслуговування (підтримку) протягом гарантійного терміну. </w:t>
      </w:r>
    </w:p>
    <w:p>
      <w:pPr>
        <w:pStyle w:val="NoSpacing"/>
        <w:jc w:val="both"/>
        <w:rPr>
          <w:rStyle w:val="T23"/>
          <w:sz w:val="24"/>
          <w:szCs w:val="24"/>
        </w:rPr>
      </w:pPr>
      <w:r>
        <w:rPr>
          <w:sz w:val="24"/>
          <w:szCs w:val="24"/>
        </w:rPr>
      </w:r>
    </w:p>
    <w:p>
      <w:pPr>
        <w:pStyle w:val="Normal"/>
        <w:spacing w:lineRule="auto" w:line="240" w:before="0" w:after="0"/>
        <w:ind w:left="14" w:firstLine="538"/>
        <w:jc w:val="both"/>
        <w:rPr>
          <w:rFonts w:ascii="Times New Roman" w:hAnsi="Times New Roman" w:cs="Times New Roman"/>
          <w:sz w:val="24"/>
          <w:szCs w:val="24"/>
          <w:lang w:eastAsia="ar-SA"/>
        </w:rPr>
      </w:pPr>
      <w:r>
        <w:rPr>
          <w:rFonts w:cs="Times New Roman" w:ascii="Times New Roman" w:hAnsi="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t>Таблиця відповідності</w:t>
      </w:r>
    </w:p>
    <w:p>
      <w:pPr>
        <w:pStyle w:val="Normal"/>
        <w:spacing w:lineRule="auto" w:line="240" w:before="0" w:after="0"/>
        <w:contextualSpacing/>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pPr w:vertAnchor="text" w:horzAnchor="margin" w:leftFromText="180" w:rightFromText="180" w:tblpX="0" w:tblpY="-62"/>
        <w:tblW w:w="1003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97"/>
        <w:gridCol w:w="2928"/>
        <w:gridCol w:w="3162"/>
        <w:gridCol w:w="2943"/>
      </w:tblGrid>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 xml:space="preserve">№ </w:t>
            </w:r>
            <w:r>
              <w:rPr>
                <w:rFonts w:cs="Times New Roman" w:ascii="Times New Roman" w:hAnsi="Times New Roman"/>
                <w:bCs/>
                <w:sz w:val="24"/>
                <w:szCs w:val="24"/>
                <w:lang w:eastAsia="ar-SA"/>
              </w:rPr>
              <w:t>з/п</w:t>
            </w:r>
          </w:p>
        </w:tc>
        <w:tc>
          <w:tcPr>
            <w:tcW w:w="2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bCs/>
                <w:sz w:val="24"/>
                <w:szCs w:val="24"/>
                <w:lang w:eastAsia="ar-SA"/>
              </w:rPr>
            </w:pPr>
            <w:r>
              <w:rPr>
                <w:rFonts w:cs="Times New Roman" w:ascii="Times New Roman" w:hAnsi="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пропонуються Учасником</w:t>
            </w:r>
          </w:p>
        </w:tc>
      </w:tr>
    </w:tbl>
    <w:p>
      <w:pPr>
        <w:pStyle w:val="Normal"/>
        <w:spacing w:lineRule="auto" w:line="240" w:before="0" w:after="0"/>
        <w:ind w:firstLine="263"/>
        <w:jc w:val="both"/>
        <w:rPr>
          <w:rFonts w:ascii="Times New Roman" w:hAnsi="Times New Roman" w:cs="Times New Roman"/>
          <w:bCs/>
          <w:iCs/>
          <w:sz w:val="24"/>
          <w:szCs w:val="24"/>
        </w:rPr>
      </w:pPr>
      <w:r/>
      <w:r>
        <w:rPr>
          <w:rFonts w:cs="Times New Roman" w:ascii="Times New Roman" w:hAnsi="Times New Roman"/>
          <w:bCs/>
          <w:iCs/>
          <w:sz w:val="24"/>
          <w:szCs w:val="24"/>
        </w:rPr>
        <w:t>Товар повинен відповідати вимогам:</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Закону України від 14.08.2014р. № 1644-VІІ «Про санкції»,</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before="0" w:after="0"/>
        <w:ind w:firstLine="263"/>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bookmarkStart w:id="1" w:name="_Hlk163655665"/>
      <w:r>
        <w:rPr>
          <w:rFonts w:cs="Times New Roman" w:ascii="Times New Roman" w:hAnsi="Times New Roman"/>
          <w:b/>
          <w:bCs/>
          <w:color w:val="000000" w:themeColor="text1"/>
          <w:sz w:val="24"/>
          <w:szCs w:val="24"/>
          <w:lang w:val="uk-UA"/>
        </w:rPr>
        <w:t>СПЕЦИФІКАЦІЯ:</w:t>
      </w:r>
      <w:bookmarkEnd w:id="1"/>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r>
    </w:p>
    <w:tbl>
      <w:tblPr>
        <w:tblW w:w="10490"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567"/>
        <w:gridCol w:w="25"/>
        <w:gridCol w:w="2346"/>
        <w:gridCol w:w="39"/>
        <w:gridCol w:w="2520"/>
        <w:gridCol w:w="32"/>
        <w:gridCol w:w="4251"/>
        <w:gridCol w:w="682"/>
        <w:gridCol w:w="27"/>
      </w:tblGrid>
      <w:tr>
        <w:trPr>
          <w:trHeight w:val="600"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23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Предмет закупівлі</w:t>
            </w:r>
          </w:p>
        </w:tc>
        <w:tc>
          <w:tcPr>
            <w:tcW w:w="684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Технічні характеристики предмета закупівлі</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К-сть, шт.</w:t>
            </w:r>
          </w:p>
        </w:tc>
        <w:tc>
          <w:tcPr>
            <w:tcW w:w="27" w:type="dxa"/>
            <w:tcBorders/>
          </w:tcPr>
          <w:p>
            <w:pPr>
              <w:pStyle w:val="Normal"/>
              <w:widowControl w:val="false"/>
              <w:spacing w:before="0" w:after="160"/>
              <w:rPr/>
            </w:pPr>
            <w:r>
              <w:rPr/>
            </w:r>
          </w:p>
        </w:tc>
      </w:tr>
      <w:tr>
        <w:trPr>
          <w:trHeight w:val="300" w:hRule="atLeast"/>
        </w:trPr>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237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bCs/>
                <w:color w:val="000000"/>
                <w:sz w:val="24"/>
                <w:szCs w:val="24"/>
              </w:rPr>
              <w:t>Автоматизоване робоче місце №1 (АРМ №1)</w:t>
            </w:r>
            <w:r>
              <w:rPr>
                <w:rFonts w:cs="Times New Roman" w:ascii="Times New Roman" w:hAnsi="Times New Roman"/>
                <w:color w:val="000000"/>
                <w:sz w:val="24"/>
                <w:szCs w:val="24"/>
              </w:rPr>
              <w:t xml:space="preserve"> </w:t>
            </w:r>
            <w:r>
              <w:rPr>
                <w:rFonts w:cs="Times New Roman" w:ascii="Times New Roman" w:hAnsi="Times New Roman"/>
                <w:i/>
                <w:iCs/>
                <w:color w:val="000000"/>
                <w:sz w:val="24"/>
                <w:szCs w:val="24"/>
              </w:rPr>
              <w:t>у комплекті</w:t>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Системний блок</w:t>
            </w:r>
          </w:p>
        </w:tc>
        <w:tc>
          <w:tcPr>
            <w:tcW w:w="68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27" w:type="dxa"/>
            <w:tcBorders/>
          </w:tcPr>
          <w:p>
            <w:pPr>
              <w:pStyle w:val="Normal"/>
              <w:widowControl w:val="false"/>
              <w:spacing w:before="0" w:after="160"/>
              <w:rPr/>
            </w:pPr>
            <w:r>
              <w:rPr/>
            </w:r>
          </w:p>
        </w:tc>
      </w:tr>
      <w:tr>
        <w:trPr>
          <w:trHeight w:val="15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Процесор</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фізичних ядер: не менше ніж 6</w:t>
              <w:br/>
              <w:t>Кількість потоків: не менше ніж 12</w:t>
              <w:br/>
              <w:t>Обсяг кеш-пам’яті: не менше 18 Mб</w:t>
              <w:br/>
              <w:t>Базова тактова частота процесора: не менше 2,50 ГГц</w:t>
              <w:br/>
              <w:t>Максимальна тактова частота у режимі Turbo Boost: не менше 4,40 ГГц</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Оперативна пам’ять</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гірше 16 Гб DDR4 3200 МГц</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Накопичувач SSD</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Об'єм SSD - не менше ніж 512 Гб m.2 NVMe</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Графічний адаптер</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Інтегрований</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107"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Порти вводу-виводу</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Порти вводу\виводу (не менше, без застосування зовнішніх перехідників та розгалуджувачів): </w:t>
              <w:br/>
              <w:t>1 порт VGA</w:t>
              <w:br/>
              <w:t>1 порт HDMI</w:t>
              <w:br/>
              <w:t>1 порт RJ-45</w:t>
              <w:br/>
              <w:t>4 порти USB Type A на задній панелі (з них не менше двох USB 3.2 Gen 1)</w:t>
              <w:br/>
              <w:t>3 порти USB Type A на передній панелі (з них не менше одного USB 3.2 Gen 1)</w:t>
              <w:br/>
              <w:t>1 порт USB 3.2 Gen1 Type C на передній панелі</w:t>
              <w:br/>
              <w:t>3 Аудіо порти на задній панелі, 2 Аудіо порти на передній панелі</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Бездротові з᾿єднання</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гірше Wi-Fi 6 (802.11ax), Bluetooth 5.2</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107"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Корпус та блок живлення</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Блок живлення: потужністю не менше 600 Вт, вентилятор блоку живлення не менше 120 мм</w:t>
              <w:br/>
              <w:t>Форм-фактор корпусу: ATX</w:t>
              <w:br/>
              <w:t>Розташування блоку живлення у нижній частині корпусу</w:t>
              <w:br/>
              <w:t>Наявність не менше ніж 4-x внутрішніх відсіків 3,5”</w:t>
              <w:br/>
              <w:t>Безгвинтове кріплення накопичувачів 3,5”</w:t>
              <w:br/>
              <w:t>Наявність на передній панелі корпусу не менше ніж 1-го слоту 3,5”</w:t>
              <w:br/>
              <w:t>Наявність замку з комплектом ключів, який у закритому положенні блокує кнопку включення системного блока</w:t>
              <w:br/>
              <w:t>Наявність не менше ніж 1-го попередньо встановленого вентилятора типорозміру 120  мм на передній панелі корпусу, та не менше ніж 1- го попередньо встановленого вентилятора типорозміру 120 мм на задній панелі корпуса</w:t>
              <w:br/>
              <w:t>Матеріал корпуса: сталь</w:t>
              <w:br/>
              <w:t>Товщина стінок не менше ніж 0,6 мм</w:t>
              <w:br/>
              <w:t>Наявність системи безпеки у вигляді датчика відкриття корпуса.</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1099"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Програмне забезпечення</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Microsoft Windows 11 Pro 64-bit (українська редакція) з обов’язковою підтримкою інтеграції зі службою каталогів Active Directory. У разі, якщо операційна система преінстальована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преінстальована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дистрибуторів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дистриб᾿ютор надає перелік усіх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офіційний дистриб’ютор Microsoft в Україні. Активація проводиться Замовником.</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816"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багатофункціональний пристрій (БФП)</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Монохромний лазерний багатофункціональний принтер</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Функціонал: Друк, копіювання, сканування</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Наявність кольорового сенсорного дисплея - Так, обов’язково</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sz w:val="24"/>
                <w:szCs w:val="24"/>
              </w:rPr>
              <w:t>Діагональ не менше ніж 5 дюймів, україномовне меню</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Формат друку: А4, А5, А6</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Швидкість друку: Не менше ніж 43 сторінок за хвилину формату А4</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Швидкість двостороннього друку:</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ніж 36 сторінок за хвилину формату А4</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Роздільна здатність друку:</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ніж 600х600 точок на дюйм</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Роздільна здатність друку:</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ніж 2400х2400 точок на дюйм</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Мова опису сторінки:</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PCL 6, Adobe PostScript Level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ОЗП: Не менше ніж 1 Гб</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Зберігання: Не менше ніж 2  Гб</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Час виходу першої копії:</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більше 6,5 секунд</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Подача паперу: Загальна ємність внутрішніх лотків подачі паперу не менше 550 аркушів А4 80 г/м2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Ємність автоподавача - не менше ніж 50 аркушів А4 80 г/м2;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паперу: А4, А5, А6 щільністю 60–199 г/м</w:t>
            </w:r>
            <w:r>
              <w:rPr>
                <w:rFonts w:cs="Times New Roman" w:ascii="Times New Roman" w:hAnsi="Times New Roman"/>
                <w:color w:val="000000"/>
                <w:sz w:val="24"/>
                <w:szCs w:val="24"/>
                <w:vertAlign w:val="superscript"/>
              </w:rPr>
              <w:t>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Сканування: Швидкість двостороннього сканування А4: не менше ніж 70 зобр/хв. (ч/б режим) та не менше ніж 25 зобр/хв.(кольор. режим)</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Сканування по email/SMB/FTP</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Сканування в мережеві папки та на зовнішні USB-носії</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Інтерфейс: 1000Base-T/100Base-TX/10Base-T, безпроводова локальна мережа (IEEE 802.11 b/g/n), USB</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Нероздільні витратні матеріали (тонер-картридж)-</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Обов’язково</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Витратні матеріали: Оригінальний картридж/картриджі: від виробника запропонованого БФП достатньо для 20 000 відбитків у комплекті (5% покриття, А4)</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Програмне забезпечення (україномовне меню)</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Авторизація користувача на пристрої за допомогою пін-коду/картки/логіну-паролю;</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Гарантійний термін:</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12 місяців від виробника</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монітор</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Монітор</w:t>
              <w:br/>
              <w:t>Розмір діагоналі: Не менше ніж 24,5”</w:t>
              <w:br/>
              <w:t>Тип панелі: Не гірше ніж VA або IPS, матовий або з антибліковим покриттям</w:t>
              <w:br/>
              <w:t xml:space="preserve">Роздільна здатність: Не гірше ніж 1920х1080 (Full HD) </w:t>
              <w:br/>
              <w:t>Кут огляду дисплея по горизонталі та вертикалі: Не гірше ніж 178 градусів</w:t>
              <w:br/>
              <w:t xml:space="preserve">Яскравість: Не гірше ніж 250 кд/м2  </w:t>
              <w:br/>
              <w:t xml:space="preserve">Контрастність: Не гірше ніж 1000:1 </w:t>
              <w:br/>
              <w:t>Частота оновлення: Не гірше ніж 100 Гц</w:t>
              <w:br/>
              <w:t xml:space="preserve">Час відгуку: Не гірше ніж 1  мс </w:t>
              <w:br/>
              <w:t>Порти: Не менше ніж 1 x HDMI, 1 x VGA</w:t>
              <w:br/>
              <w:t>VESA кріплення: 75 х 75 або 100 х 100 мм</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12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клавіатура та миша</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Комплект від виробника системного блоку</w:t>
              <w:br/>
              <w:t>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br/>
              <w:t>Технологія миші – оптична; кількість кнопок - щонайменше 3: ліва, права, колесо-кнопка для скролінгу</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Гарантія, міс</w:t>
            </w:r>
          </w:p>
        </w:tc>
        <w:tc>
          <w:tcPr>
            <w:tcW w:w="42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36 місяців від виробника</w:t>
            </w:r>
          </w:p>
        </w:tc>
        <w:tc>
          <w:tcPr>
            <w:tcW w:w="6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7" w:type="dxa"/>
            <w:tcBorders/>
          </w:tcPr>
          <w:p>
            <w:pPr>
              <w:pStyle w:val="Normal"/>
              <w:widowControl w:val="false"/>
              <w:spacing w:before="0" w:after="160"/>
              <w:rPr/>
            </w:pPr>
            <w:r>
              <w:rPr/>
            </w:r>
          </w:p>
        </w:tc>
      </w:tr>
      <w:tr>
        <w:trPr>
          <w:trHeight w:val="300" w:hRule="atLeast"/>
        </w:trPr>
        <w:tc>
          <w:tcPr>
            <w:tcW w:w="59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238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bCs/>
                <w:color w:val="000000"/>
                <w:sz w:val="24"/>
                <w:szCs w:val="24"/>
              </w:rPr>
              <w:t>Автоматизоване робоче місце №2 (АРМ №2)</w:t>
            </w:r>
            <w:r>
              <w:rPr>
                <w:rFonts w:cs="Times New Roman" w:ascii="Times New Roman" w:hAnsi="Times New Roman"/>
                <w:color w:val="000000"/>
                <w:sz w:val="24"/>
                <w:szCs w:val="24"/>
              </w:rPr>
              <w:t xml:space="preserve"> </w:t>
            </w:r>
            <w:r>
              <w:rPr>
                <w:rFonts w:cs="Times New Roman" w:ascii="Times New Roman" w:hAnsi="Times New Roman"/>
                <w:i/>
                <w:iCs/>
                <w:color w:val="000000"/>
                <w:sz w:val="24"/>
                <w:szCs w:val="24"/>
              </w:rPr>
              <w:t>у комплекті</w:t>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Системний блок</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tc>
      </w:tr>
      <w:tr>
        <w:trPr>
          <w:trHeight w:val="15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Процесор</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фізичних ядер: не менше ніж 6</w:t>
              <w:br/>
              <w:t>Кількість потоків: не менше ніж 12</w:t>
              <w:br/>
              <w:t>Обсяг кеш-пам’яті: не менше 18 Mб</w:t>
              <w:br/>
              <w:t>Базова тактова частота процесора: не менше 2,50 ГГц</w:t>
              <w:br/>
              <w:t>Максимальна тактова частота у режимі Turbo Boost: не менше 4,40 ГГц</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Оперативна пам’ять</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гірше 16 Гб DDR4 3200 МГц</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Накопичувач SSD</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Об᾿єм SSD - не менше ніж 512 Гб m.2 NVMe</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Графічний адаптер</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Інтегрований</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07"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Порти вводу-виводу</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Порти вводу\виводу (не менше, без застосування зовнішніх перехідників та розгалуджувачів): </w:t>
              <w:br/>
              <w:t>1 порт VGA</w:t>
              <w:br/>
              <w:t>1 порт HDMI</w:t>
              <w:br/>
              <w:t>1 порт RJ-45</w:t>
              <w:br/>
              <w:t>4 порти USB Type A на задній панелі (з них не менше двох USB 3.2 Gen 1)</w:t>
              <w:br/>
              <w:t>3 порти USB Type A на передній панелі (з них не менше одного USB 3.2 Gen 1)</w:t>
              <w:br/>
              <w:t>1 порт USB 3.2 Gen1 Type C на передній панелі</w:t>
              <w:br/>
              <w:t>3 Аудіо порти на задній панелі, 2 Аудіо порти на передній панелі</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Бездротові з᾿єднання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гірше Wi-Fi 6 (802.11ax), Bluetooth 5.2</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07"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Корпус та блок живлення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Блок живлення: потужністю не менше 600 Вт, вентилятор блоку живлення не менше 120  мм</w:t>
              <w:br/>
              <w:t>Форм-фактор корпусу: ATX</w:t>
              <w:br/>
              <w:t>Розташування блоку живлення у нижній частині корпусу</w:t>
              <w:br/>
              <w:t>Наявність не менше ніж 4-x внутрішніх відсіків 3,5”</w:t>
              <w:br/>
              <w:t>Безгвинтове кріплення накопичувачів 3,5”</w:t>
              <w:br/>
              <w:t>Наявність на передній панелі корпусу не менше ніж 1-го слоту 3,5”</w:t>
              <w:br/>
              <w:t>Наявність замку з комплектом ключів, який у закритому положенні блокує кнопку включення системного блоку</w:t>
              <w:b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br/>
              <w:t>Матеріал корпусу: сталь</w:t>
              <w:br/>
              <w:t>Товщина стінок не менше ніж 0,6 мм</w:t>
              <w:br/>
              <w:t>Наявність системи безпеки у вигляді датчика відкриття корпусу.</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Програмне забезпечення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Microsoft Windows 11 Pro 64-bit (українська редакція) з обов’язковою підтримкою інтеграції зі службою каталогів Active Directory. У разі, якщо операційна система преінстальована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преінстальована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дистриб᾿юторів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дистриб᾿ютор надає перелік усіх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офіційний дистриб’ютор Microsoft в Україні. Активація проводиться Замовником.</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монітор</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Монітор</w:t>
              <w:br/>
              <w:t>Розмір діагоналі: Не менше ніж 24,5”</w:t>
              <w:br/>
              <w:t>Тип панелі: Не гірше ніж VA або IPS, матовий або з антибліковим покриттям</w:t>
              <w:br/>
              <w:t xml:space="preserve">Роздільна здатність: Не гірше ніж 1920х1080 (Full HD) </w:t>
              <w:br/>
              <w:t>Кут огляду дисплея по горизонталі та вертикалі: Не гірше ніж 178 градусів</w:t>
              <w:br/>
              <w:t xml:space="preserve">Яскравість: Не гірше ніж 250  кд/м2  </w:t>
              <w:br/>
              <w:t xml:space="preserve">Контрастність: Не гірше ніж 1000:1 </w:t>
              <w:br/>
              <w:t>Частота оновлення: Не гірше ніж 100 Гц</w:t>
              <w:br/>
              <w:t xml:space="preserve">Час відгуку: Не гірше ніж  1  мс </w:t>
              <w:br/>
              <w:t>Порти: Не менше ніж 1 x HDMI, 1 x VGA</w:t>
              <w:br/>
              <w:t>VESA кріплення: 75 х 75 або 100 х 100 мм</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2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клавіатура та миша</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Комплект від виробника системного блоку</w:t>
              <w:br/>
              <w:t>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br/>
              <w:t>Технологія миші – оптична; кількість кнопок - щонайменше 3: ліва, права, колесо-кнопка для скролінгу</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Гарантія, міс</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36 місяців від виробника</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17" w:hRule="atLeast"/>
        </w:trPr>
        <w:tc>
          <w:tcPr>
            <w:tcW w:w="59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238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bCs/>
                <w:color w:val="000000"/>
                <w:sz w:val="24"/>
                <w:szCs w:val="24"/>
              </w:rPr>
              <w:t>Автоматизоване робоче місце №3 (АРМ №3)</w:t>
            </w:r>
            <w:r>
              <w:rPr>
                <w:rFonts w:cs="Times New Roman" w:ascii="Times New Roman" w:hAnsi="Times New Roman"/>
                <w:color w:val="000000"/>
                <w:sz w:val="24"/>
                <w:szCs w:val="24"/>
              </w:rPr>
              <w:t xml:space="preserve"> </w:t>
            </w:r>
            <w:r>
              <w:rPr>
                <w:rFonts w:cs="Times New Roman" w:ascii="Times New Roman" w:hAnsi="Times New Roman"/>
                <w:i/>
                <w:iCs/>
                <w:color w:val="000000"/>
                <w:sz w:val="24"/>
                <w:szCs w:val="24"/>
              </w:rPr>
              <w:t>у комплекті</w:t>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Системний блок</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7</w:t>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Процесор</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фізичних ядер: не менше ніж 6</w:t>
              <w:br/>
              <w:t>Кількість потоків: не менше ніж 12</w:t>
              <w:br/>
              <w:t>Обсяг кеш-пам’яті: не менше 18 Mб</w:t>
              <w:br/>
              <w:t>Базова тактова частота процесора: не менше 2,50 ГГц</w:t>
              <w:br/>
              <w:t>Максимальна тактова частота у режимі Turbo Boost: не менше 4,40 ГГц</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1"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Оперативна пам’ять</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Не гірше 32 Гб DDR4 3200 МГц (двохканальний режим)</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57"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Накопичувач SSD</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Об'єм SSD - не менше ніж 512 Гб m.2 NVMe</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51"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Графічний адаптер</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Інтегрований</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Порти вводу-виводу</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Порти вводу\виводу (не менше, без застосування зовнішніх перехідників та розгалуджувачів): </w:t>
              <w:br/>
              <w:t>1 порт DP</w:t>
              <w:br/>
              <w:t>2 порти HDMI</w:t>
              <w:br/>
              <w:t>1 порт RJ-45</w:t>
              <w:br/>
              <w:t>6 портів USB Type A на задній панелі (з них не менше двох USB 3.2 Gen 2)</w:t>
              <w:br/>
              <w:t>3 порти USB Type A на передній панелі (з них не менше одного USB 3.2 Gen 1)</w:t>
              <w:br/>
              <w:t>1 порт USB Type C на передній панелі</w:t>
              <w:br/>
              <w:t>3 Аудіо порти на задній панелі, 2 Аудіо порти на передній панелі</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49"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Бездротові з'єднання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Не гірше Wi-Fi 6 (802.11ax), Bluetooth 5.2</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Корпус та блок живлення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Блок живлення: потужністю не менше 500 Вт, вентилятор блоку живлення не менше 120 мм</w:t>
              <w:br/>
              <w:t>Форм-фактор корпусу: ATX</w:t>
              <w:br/>
              <w:t>Розташування блоку живлення у нижній частині корпусу</w:t>
              <w:br/>
              <w:t>Наявність не менше ніж 4-x внутрішніх відсіків 3,5”</w:t>
              <w:br/>
              <w:t>Безгвинтове кріплення накопичувачів 3,5”</w:t>
              <w:br/>
              <w:t>Наявність на передній панелі корпусу не менше ніж 1-го слоту 3,5”</w:t>
              <w:br/>
              <w:t>Наявність замку з комплектом ключів, який у закритому положенні блокує кнопку включення системного блоку</w:t>
              <w:b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br/>
              <w:t>Матеріал корпусу: сталь</w:t>
              <w:br/>
              <w:t>Товщина стінок не менше ніж 0,6 мм</w:t>
              <w:br/>
              <w:t>Наявність системи безпеки у вигляді датчика відкриття корпусу.</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Програмне забезпечення</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Microsoft Windows 11 Pro 64-bit (українська редакція) з обов’язковою підтримкою інтеграції зі службою каталогів Active Directory. У разі, якщо операційна система преінстальована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преінстальована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дистрибуторів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дистрибутор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w:t>
              <w:br/>
              <w:t>офіційний дистриб’ютор Microsoft в Україні. Активація проводиться Замовником.</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клавіатура та миша</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Комплект від виробника системного блоку</w:t>
              <w:br/>
              <w:t>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br/>
              <w:t>Технологія миші – оптична; кількість кнопок - щонайменше 3: ліва, права, колесо-кнопка для скролінгу</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У комплекті ДБЖ</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Джерело безперебійного живлення з AVR</w:t>
              <w:br/>
              <w:t>Технологія: Лінійно-інтерактивна</w:t>
              <w:br/>
              <w:t>Тип вихідного сигналу: Апроксимована (ступінчата) синусоїда</w:t>
              <w:br/>
              <w:t>Макс. вихідна потужність, Ва: Не менше 1550</w:t>
              <w:br/>
              <w:t>Ефективна вихідна потужність, Вт: Не менше 900</w:t>
              <w:br/>
              <w:t>Діапазон вхідної напруги при роботі від мережі, В: Не вужче 170-280</w:t>
              <w:br/>
              <w:t>Робоча частота, Гц: 50/60</w:t>
              <w:br/>
              <w:t>Кількість вбудованих розеток з батарейним резервуванням, шт: Не менше 4</w:t>
              <w:br/>
              <w:t>Тип розеток: Schuko</w:t>
              <w:br/>
              <w:t>Час переходу на роботу від батареї, мс: не більше 6</w:t>
              <w:br/>
              <w:t>Захист локальної мережі RJ-45: Так</w:t>
              <w:br/>
              <w:t>Порт для управління та моніторингу USB: Так</w:t>
              <w:br/>
              <w:t>Індикація:LCD екран</w:t>
              <w:br/>
              <w:t>Тип батареї: Не менше 2 х 12В 9Аг</w:t>
              <w:br/>
              <w:t>Напруга, В: 230</w:t>
              <w:br/>
              <w:t>Функції та технології захисту: Мікропроцесорне керування, автоматичне регулювання напруги, функція "Холодний старт", захист від короткого замикання, скачків напруги, перенавантаження, перезаряду батареї та її глибокого розряду</w:t>
              <w:br/>
              <w:t xml:space="preserve">Розміри (ДхШхВ), мм: Не більше 380x160x200 </w:t>
              <w:br/>
              <w:t>Комплектація ДБЖ, інструкція з експлуатації, кабель USB, з'ємний кабель живлення</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Гарантія, міс</w:t>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На системний блок, клавіатуру та мишу не менше 36, на ДБЖ не менше 12</w:t>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690" w:hRule="atLeast"/>
        </w:trPr>
        <w:tc>
          <w:tcPr>
            <w:tcW w:w="5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0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У разі, якщо у цій тендерній документації (у тому числі у технічній специфікації) міститься посилання:</w:t>
      </w:r>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pPr>
        <w:pStyle w:val="Norma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contextualSpacing/>
        <w:jc w:val="both"/>
        <w:rPr>
          <w:rFonts w:ascii="Times New Roman" w:hAnsi="Times New Roman" w:cs="Times New Roman"/>
          <w:b/>
          <w:b/>
          <w:bCs/>
          <w:sz w:val="24"/>
          <w:szCs w:val="24"/>
        </w:rPr>
      </w:pPr>
      <w:r>
        <w:rPr>
          <w:rFonts w:cs="Times New Roman" w:ascii="Times New Roman" w:hAnsi="Times New Roman"/>
          <w:b/>
          <w:bCs/>
          <w:sz w:val="24"/>
          <w:szCs w:val="24"/>
        </w:rPr>
        <w:t>Вимоги до предмету закупівлі:</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На підтвердження відповідності товару, що входить до складу предмета закупівлі АРМ (системний блок) Учасник повинен надати копію:</w:t>
      </w:r>
    </w:p>
    <w:p>
      <w:pPr>
        <w:pStyle w:val="ListParagraph"/>
        <w:numPr>
          <w:ilvl w:val="0"/>
          <w:numId w:val="1"/>
        </w:numPr>
        <w:suppressAutoHyphens w:val="false"/>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Декларації на відповідність технічному регламенту з електромагнітної сумісності обладнання, затвердженого постановою Кабінету Міністрів від 16  грудня 2015 року № 1077;</w:t>
      </w:r>
    </w:p>
    <w:p>
      <w:pPr>
        <w:pStyle w:val="ListParagraph"/>
        <w:numPr>
          <w:ilvl w:val="0"/>
          <w:numId w:val="1"/>
        </w:numPr>
        <w:suppressAutoHyphens w:val="false"/>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Декларації на відповідність технічному регламенту низьковольтного електричного обладнання, затвердженого постановою Кабінету Міністрів  від 16  грудня 2015 року № 1067;</w:t>
      </w:r>
    </w:p>
    <w:p>
      <w:pPr>
        <w:pStyle w:val="ListParagraph"/>
        <w:numPr>
          <w:ilvl w:val="0"/>
          <w:numId w:val="1"/>
        </w:numPr>
        <w:suppressAutoHyphens w:val="false"/>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Декларації на відповідність технічному регламенту обмеження використання деяких небезпечних речовин в електричному та електронному обладнанні (ПКМУ від 10.03.2017 №139);</w:t>
      </w:r>
    </w:p>
    <w:p>
      <w:pPr>
        <w:pStyle w:val="ListParagraph"/>
        <w:numPr>
          <w:ilvl w:val="0"/>
          <w:numId w:val="1"/>
        </w:numPr>
        <w:suppressAutoHyphens w:val="false"/>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Декларації на відповідність технічному регламенту радіообладнання, затвердженого постановою Кабінету Міністрів від 24 травня 2017 року № 355);</w:t>
      </w:r>
    </w:p>
    <w:p>
      <w:pPr>
        <w:pStyle w:val="ListParagraph"/>
        <w:numPr>
          <w:ilvl w:val="0"/>
          <w:numId w:val="1"/>
        </w:numPr>
        <w:suppressAutoHyphens w:val="false"/>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Сертифіката експертизи типу, у разі використання обладнання з   радіодоступом (Wi-Fi/Bluetooth);</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 xml:space="preserve">Сертифіката на систему управління якістю ДСТУ ISO 9001:2018; </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 xml:space="preserve">Сертифіката на систему екологічного керування ДСТУ ISO 14001:2015; </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Сертифіката на систему менеджменту інформаційної безпеки ISO/IEC 27001:2022;</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Сертифіката на систему управління безпекою ланцюга постачання ISO/IEC 28000:2007;</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Сертифіката на системи менеджменту охорони здоров᾿я та безпеки праці. Вимоги та настанови щодо застосовування ISO 45001:2018;</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Сертифіката на систему енергетичного менеджменту ДСТУ ISO 50001:2020;</w:t>
      </w:r>
    </w:p>
    <w:p>
      <w:pPr>
        <w:pStyle w:val="ListParagraph"/>
        <w:numPr>
          <w:ilvl w:val="0"/>
          <w:numId w:val="1"/>
        </w:numPr>
        <w:suppressAutoHyphens w:val="false"/>
        <w:spacing w:lineRule="auto" w:line="240" w:before="0" w:after="0"/>
        <w:ind w:left="0" w:firstLine="709"/>
        <w:contextualSpacing w:val="false"/>
        <w:rPr>
          <w:rFonts w:ascii="Times New Roman" w:hAnsi="Times New Roman" w:cs="Times New Roman"/>
          <w:sz w:val="24"/>
          <w:szCs w:val="24"/>
        </w:rPr>
      </w:pPr>
      <w:r>
        <w:rPr>
          <w:rFonts w:cs="Times New Roman" w:ascii="Times New Roman" w:hAnsi="Times New Roman"/>
          <w:sz w:val="24"/>
          <w:szCs w:val="24"/>
        </w:rPr>
        <w:t>Копію чинного висновку державної санітарно-епідеміологічної експертизи.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На підтвердження відповідності Товару, що входить до складу предмета закупівлі АРМ (монітор), БФП, якісним характеристикам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Якщо Учасник не є виробником товару, що входить до складу предмета закупівлі АРМ (системний блок, монітор), БФП,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Учасник надає порівняльну таблицю відповідності запропонованого товару технічним вимогам Замовника.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Гарантійні листи повинні бути адресовані Замовнику із обов’язковим зазначенням найменування та номера закупівлі.</w:t>
      </w:r>
    </w:p>
    <w:p>
      <w:pPr>
        <w:pStyle w:val="Normal"/>
        <w:widowControl w:val="false"/>
        <w:spacing w:lineRule="auto" w:line="240" w:before="0" w:after="0"/>
        <w:ind w:right="-1" w:hanging="0"/>
        <w:jc w:val="both"/>
        <w:rPr>
          <w:rFonts w:ascii="Times New Roman" w:hAnsi="Times New Roman" w:cs="Times New Roman"/>
          <w:sz w:val="24"/>
          <w:szCs w:val="24"/>
        </w:rPr>
      </w:pPr>
      <w:r>
        <w:rPr>
          <w:rFonts w:cs="Times New Roman" w:ascii="Times New Roman" w:hAnsi="Times New Roman"/>
          <w:sz w:val="24"/>
          <w:szCs w:val="24"/>
        </w:rPr>
        <w:t>9.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1 443 420,00 грн. (один мільйон чотириста сорок три тисячі чотириста двадцять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Style17">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Collabora_Office/22.05.20.1$Linux_X86_64 LibreOffice_project/bd9263bb6d0222e89e44fbff51d0d094dad8e281</Application>
  <AppVersion>15.0000</AppVersion>
  <Pages>13</Pages>
  <Words>3591</Words>
  <Characters>23102</Characters>
  <CharactersWithSpaces>26547</CharactersWithSpaces>
  <Paragraphs>194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2024-09-12T12:13:00Z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