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системи зберігання енергії за ДК 021:2015: 31150000-2 Баласти для розрядних ламп чи трубок</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 xml:space="preserve">2</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3228</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системи зберігання енергії за ДК 021:2015: 31150000-2 Баласти для розрядних ламп чи трубок</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bookmarkStart w:id="0" w:name="_Hlk163655665"/>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34"/>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36"/>
              <w:jc w:val="center"/>
              <w:rPr>
                <w:b/>
                <w:bCs/>
              </w:rPr>
            </w:pPr>
            <w:r>
              <w:rPr>
                <w:b/>
                <w:bCs/>
              </w:rPr>
              <w:t xml:space="preserve">№ п/п</w:t>
            </w:r>
            <w:r/>
          </w:p>
        </w:tc>
        <w:tc>
          <w:tcPr>
            <w:tcW w:w="5670" w:type="dxa"/>
            <w:textDirection w:val="lrTb"/>
            <w:noWrap w:val="false"/>
          </w:tcPr>
          <w:p>
            <w:pPr>
              <w:pStyle w:val="736"/>
              <w:jc w:val="center"/>
              <w:rPr>
                <w:b/>
                <w:bCs/>
              </w:rPr>
            </w:pPr>
            <w:r>
              <w:rPr>
                <w:b/>
                <w:bCs/>
              </w:rPr>
              <w:t xml:space="preserve">Назва системи</w:t>
            </w:r>
            <w:r/>
          </w:p>
        </w:tc>
        <w:tc>
          <w:tcPr>
            <w:tcW w:w="1701" w:type="dxa"/>
            <w:textDirection w:val="lrTb"/>
            <w:noWrap w:val="false"/>
          </w:tcPr>
          <w:p>
            <w:pPr>
              <w:pStyle w:val="736"/>
              <w:jc w:val="center"/>
              <w:rPr>
                <w:b/>
                <w:bCs/>
              </w:rPr>
            </w:pPr>
            <w:r>
              <w:rPr>
                <w:b/>
                <w:bCs/>
              </w:rPr>
              <w:t xml:space="preserve">Одиниця виміру</w:t>
            </w:r>
            <w:r/>
          </w:p>
        </w:tc>
        <w:tc>
          <w:tcPr>
            <w:tcW w:w="1701" w:type="dxa"/>
            <w:textDirection w:val="lrTb"/>
            <w:noWrap w:val="false"/>
          </w:tcPr>
          <w:p>
            <w:pPr>
              <w:pStyle w:val="736"/>
              <w:jc w:val="center"/>
              <w:rPr>
                <w:b/>
                <w:bCs/>
              </w:rPr>
            </w:pPr>
            <w:r>
              <w:rPr>
                <w:b/>
                <w:bCs/>
              </w:rPr>
              <w:t xml:space="preserve">Кількість</w:t>
            </w:r>
            <w:r/>
          </w:p>
        </w:tc>
      </w:tr>
      <w:tr>
        <w:trPr/>
        <w:tc>
          <w:tcPr>
            <w:tcW w:w="562" w:type="dxa"/>
            <w:vAlign w:val="center"/>
            <w:textDirection w:val="lrTb"/>
            <w:noWrap w:val="false"/>
          </w:tcPr>
          <w:p>
            <w:pPr>
              <w:pStyle w:val="736"/>
              <w:jc w:val="center"/>
              <w:rPr>
                <w:b/>
                <w:bCs/>
              </w:rPr>
            </w:pPr>
            <w:r>
              <w:rPr>
                <w:b/>
                <w:bCs/>
              </w:rPr>
              <w:t xml:space="preserve">1</w:t>
            </w:r>
            <w:r/>
          </w:p>
        </w:tc>
        <w:tc>
          <w:tcPr>
            <w:tcW w:w="5670" w:type="dxa"/>
            <w:vAlign w:val="center"/>
            <w:textDirection w:val="lrTb"/>
            <w:noWrap w:val="false"/>
          </w:tcPr>
          <w:p>
            <w:pPr>
              <w:pStyle w:val="736"/>
              <w:rPr>
                <w:b/>
                <w:bCs/>
              </w:rPr>
            </w:pPr>
            <w:r>
              <w:rPr>
                <w:b/>
                <w:lang w:val="ru-RU"/>
              </w:rPr>
              <w:t xml:space="preserve">Система зберігання енергії</w:t>
            </w:r>
            <w:r/>
          </w:p>
        </w:tc>
        <w:tc>
          <w:tcPr>
            <w:tcW w:w="1701" w:type="dxa"/>
            <w:vAlign w:val="center"/>
            <w:textDirection w:val="lrTb"/>
            <w:noWrap w:val="false"/>
          </w:tcPr>
          <w:p>
            <w:pPr>
              <w:pStyle w:val="736"/>
              <w:jc w:val="center"/>
              <w:rPr>
                <w:b/>
                <w:bCs/>
              </w:rPr>
            </w:pPr>
            <w:r>
              <w:rPr>
                <w:b/>
                <w:bCs/>
              </w:rPr>
              <w:t xml:space="preserve">шт.</w:t>
            </w:r>
            <w:r/>
          </w:p>
        </w:tc>
        <w:tc>
          <w:tcPr>
            <w:tcW w:w="1701" w:type="dxa"/>
            <w:vAlign w:val="center"/>
            <w:textDirection w:val="lrTb"/>
            <w:noWrap w:val="false"/>
          </w:tcPr>
          <w:p>
            <w:pPr>
              <w:pStyle w:val="736"/>
              <w:jc w:val="center"/>
              <w:rPr>
                <w:b/>
                <w:bCs/>
              </w:rPr>
            </w:pPr>
            <w:r>
              <w:rPr>
                <w:b/>
                <w:bCs/>
              </w:rPr>
              <w:t xml:space="preserve">1</w:t>
            </w:r>
            <w:r/>
          </w:p>
        </w:tc>
      </w:tr>
    </w:tbl>
    <w:p>
      <w:pPr>
        <w:pStyle w:val="736"/>
        <w:jc w:val="both"/>
        <w:spacing w:after="0" w:line="240" w:lineRule="auto"/>
        <w:rPr>
          <w:b/>
          <w:bCs/>
          <w:i/>
          <w:iCs/>
          <w:lang w:eastAsia="ru-RU"/>
        </w:rPr>
      </w:pPr>
      <w:r>
        <w:rPr>
          <w:b/>
          <w:bCs/>
          <w:i/>
          <w:iCs/>
          <w:lang w:eastAsia="ru-RU"/>
        </w:rPr>
      </w:r>
      <w:r/>
    </w:p>
    <w:p>
      <w:pPr>
        <w:pStyle w:val="736"/>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w:t>
      </w:r>
      <w:r>
        <w:rPr>
          <w:b/>
          <w:bCs/>
          <w:i/>
          <w:iCs/>
          <w:lang w:eastAsia="ru-RU"/>
        </w:rPr>
        <w:t xml:space="preserve">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w:t>
      </w:r>
      <w:r>
        <w:rPr>
          <w:b/>
          <w:bCs/>
          <w:i/>
          <w:iCs/>
          <w:lang w:eastAsia="ru-RU"/>
        </w:rPr>
        <w:t xml:space="preserve">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p>
    <w:p>
      <w:pPr>
        <w:pStyle w:val="736"/>
        <w:jc w:val="both"/>
        <w:spacing w:after="0" w:line="240" w:lineRule="auto"/>
        <w:rPr>
          <w:b/>
          <w:bCs/>
          <w:i/>
          <w:iCs/>
          <w:lang w:eastAsia="ru-RU"/>
        </w:rPr>
      </w:pPr>
      <w:r>
        <w:rPr>
          <w:b/>
          <w:bCs/>
          <w:i/>
          <w:iCs/>
          <w:lang w:eastAsia="ru-RU"/>
        </w:rPr>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Пропо</w:t>
      </w:r>
      <w:r>
        <w:rPr>
          <w:rFonts w:ascii="Times New Roman" w:hAnsi="Times New Roman" w:cs="Times New Roman"/>
          <w:sz w:val="24"/>
          <w:szCs w:val="24"/>
          <w:lang w:eastAsia="uk-UA"/>
        </w:rPr>
        <w:t xml:space="preserve">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інструкція з експлуатації українською мовою</w:t>
      </w:r>
      <w:r>
        <w:rPr>
          <w:rFonts w:ascii="Times New Roman" w:hAnsi="Times New Roman" w:cs="Times New Roman"/>
          <w:sz w:val="24"/>
          <w:szCs w:val="24"/>
          <w:lang w:eastAsia="uk-UA"/>
        </w:rPr>
        <w:t xml:space="preserve">,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pStyle w:val="748"/>
        <w:jc w:val="both"/>
        <w:rPr>
          <w:rStyle w:val="758"/>
          <w:sz w:val="24"/>
          <w:szCs w:val="24"/>
        </w:rPr>
      </w:pPr>
      <w:r>
        <w:rPr>
          <w:sz w:val="24"/>
          <w:szCs w:val="24"/>
        </w:rPr>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w:t>
      </w:r>
      <w:r>
        <w:rPr>
          <w:rFonts w:ascii="Times New Roman" w:hAnsi="Times New Roman" w:cs="Times New Roman"/>
          <w:bCs/>
          <w:iCs/>
          <w:sz w:val="24"/>
          <w:szCs w:val="24"/>
        </w:rPr>
        <w:t xml:space="preserve">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r>
      <w:r/>
    </w:p>
    <w:p>
      <w:pPr>
        <w:pStyle w:val="732"/>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bookmarkEnd w:id="0"/>
      <w:r/>
    </w:p>
    <w:tbl>
      <w:tblPr>
        <w:tblW w:w="984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6"/>
        <w:gridCol w:w="1719"/>
        <w:gridCol w:w="4174"/>
        <w:gridCol w:w="2560"/>
        <w:gridCol w:w="884"/>
      </w:tblGrid>
      <w:tr>
        <w:trPr>
          <w:trHeight w:val="315"/>
        </w:trPr>
        <w:tc>
          <w:tcPr>
            <w:shd w:val="clear" w:color="auto" w:fill="auto"/>
            <w:tcW w:w="506"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з/п</w:t>
            </w:r>
            <w:r/>
          </w:p>
        </w:tc>
        <w:tc>
          <w:tcPr>
            <w:shd w:val="clear" w:color="auto" w:fill="auto"/>
            <w:tcW w:w="1719"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Найменування товару</w:t>
            </w:r>
            <w:r/>
          </w:p>
        </w:tc>
        <w:tc>
          <w:tcPr>
            <w:gridSpan w:val="2"/>
            <w:shd w:val="clear" w:color="auto" w:fill="auto"/>
            <w:tcW w:w="6734"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Характеристики товару</w:t>
            </w:r>
            <w:r/>
          </w:p>
        </w:tc>
        <w:tc>
          <w:tcPr>
            <w:shd w:val="clear" w:color="auto" w:fill="auto"/>
            <w:tcW w:w="884" w:type="dxa"/>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К-сть, шт</w:t>
            </w:r>
            <w:r/>
          </w:p>
        </w:tc>
      </w:tr>
      <w:tr>
        <w:trPr>
          <w:trHeight w:val="300"/>
        </w:trPr>
        <w:tc>
          <w:tcPr>
            <w:shd w:val="clear" w:color="auto" w:fill="auto"/>
            <w:tcW w:w="506" w:type="dxa"/>
            <w:vAlign w:val="center"/>
            <w:vMerge w:val="restart"/>
            <w:textDirection w:val="lrTb"/>
            <w:noWrap/>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w:t>
            </w:r>
            <w:r/>
          </w:p>
        </w:tc>
        <w:tc>
          <w:tcPr>
            <w:shd w:val="clear" w:color="auto" w:fill="auto"/>
            <w:tcW w:w="1719" w:type="dxa"/>
            <w:vAlign w:val="center"/>
            <w:vMerge w:val="restart"/>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Система зберігання енергії</w:t>
            </w:r>
            <w:r/>
          </w:p>
        </w:tc>
        <w:tc>
          <w:tcPr>
            <w:shd w:val="clear" w:color="auto" w:fill="auto"/>
            <w:tcW w:w="417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w:t>
            </w:r>
            <w:r/>
          </w:p>
        </w:tc>
        <w:tc>
          <w:tcPr>
            <w:shd w:val="clear" w:color="auto" w:fill="auto"/>
            <w:tcW w:w="2560"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Гібридна трьох фазна система зберігання енергії (резервного електроживлення) в серійному монокорпусному виконанні з встановленням, налаштуванням на вводом в експлуатацію на майданчику замовника</w:t>
            </w:r>
            <w:r/>
          </w:p>
        </w:tc>
        <w:tc>
          <w:tcPr>
            <w:shd w:val="clear" w:color="auto" w:fill="auto"/>
            <w:tcW w:w="884" w:type="dxa"/>
            <w:vAlign w:val="center"/>
            <w:vMerge w:val="restart"/>
            <w:textDirection w:val="lrTb"/>
            <w:noWrap/>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w:t>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інверторів у складі системи</w:t>
            </w:r>
            <w:r/>
          </w:p>
        </w:tc>
        <w:tc>
          <w:tcPr>
            <w:shd w:val="clear" w:color="auto" w:fill="auto"/>
            <w:tcW w:w="2560"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сигналу</w:t>
            </w:r>
            <w:r/>
          </w:p>
        </w:tc>
        <w:tc>
          <w:tcPr>
            <w:shd w:val="clear" w:color="auto" w:fill="auto"/>
            <w:tcW w:w="2560"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Чиста синусоїда</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Номінальна потужність інвертору АС</w:t>
            </w:r>
            <w:r/>
          </w:p>
        </w:tc>
        <w:tc>
          <w:tcPr>
            <w:shd w:val="clear" w:color="auto" w:fill="auto"/>
            <w:tcW w:w="2560"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12000 Вт</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Пікова потужність інвертору АС</w:t>
            </w:r>
            <w:r/>
          </w:p>
        </w:tc>
        <w:tc>
          <w:tcPr>
            <w:shd w:val="clear" w:color="auto" w:fill="auto"/>
            <w:tcW w:w="2560"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24000 Вт</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Макс. вхідна потужність PV (сонячного масиву) </w:t>
            </w:r>
            <w:r/>
          </w:p>
        </w:tc>
        <w:tc>
          <w:tcPr>
            <w:shd w:val="clear" w:color="auto" w:fill="auto"/>
            <w:tcW w:w="2560"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15600 Вт</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Максимальний струм заряду (вихід інвертора)</w:t>
            </w:r>
            <w:r/>
          </w:p>
        </w:tc>
        <w:tc>
          <w:tcPr>
            <w:shd w:val="clear" w:color="auto" w:fill="auto"/>
            <w:tcW w:w="2560"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240 A</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фаз</w:t>
            </w:r>
            <w:r/>
          </w:p>
        </w:tc>
        <w:tc>
          <w:tcPr>
            <w:shd w:val="clear" w:color="auto" w:fill="auto"/>
            <w:tcW w:w="2560"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MPPT</w:t>
            </w:r>
            <w:r/>
          </w:p>
        </w:tc>
        <w:tc>
          <w:tcPr>
            <w:shd w:val="clear" w:color="auto" w:fill="auto"/>
            <w:tcW w:w="2560"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2</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Функція холодного запуску </w:t>
            </w:r>
            <w:r/>
          </w:p>
        </w:tc>
        <w:tc>
          <w:tcPr>
            <w:shd w:val="clear" w:color="auto" w:fill="auto"/>
            <w:tcW w:w="2560" w:type="dxa"/>
            <w:vAlign w:val="center"/>
            <w:textDirection w:val="lrTb"/>
            <w:noWrap/>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батарей у складі системи</w:t>
            </w:r>
            <w:r/>
          </w:p>
        </w:tc>
        <w:tc>
          <w:tcPr>
            <w:shd w:val="clear" w:color="auto" w:fill="auto"/>
            <w:tcW w:w="2560"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4</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Тип батареї</w:t>
            </w:r>
            <w:r/>
          </w:p>
        </w:tc>
        <w:tc>
          <w:tcPr>
            <w:shd w:val="clear" w:color="auto" w:fill="auto"/>
            <w:tcW w:w="2560"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LiFePO4</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Сумарна </w:t>
            </w:r>
            <w:r>
              <w:rPr>
                <w:rFonts w:ascii="Times New Roman" w:hAnsi="Times New Roman" w:cs="Times New Roman"/>
                <w:sz w:val="24"/>
                <w:szCs w:val="24"/>
              </w:rPr>
              <w:t xml:space="preserve">повна енергія, що зберігається в блоці батарей</w:t>
            </w:r>
            <w:r/>
          </w:p>
        </w:tc>
        <w:tc>
          <w:tcPr>
            <w:shd w:val="clear" w:color="auto" w:fill="auto"/>
            <w:tcW w:w="2560"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w:t>
            </w:r>
            <w:r>
              <w:rPr>
                <w:rFonts w:ascii="Times New Roman" w:hAnsi="Times New Roman" w:cs="Times New Roman"/>
                <w:sz w:val="24"/>
                <w:szCs w:val="24"/>
              </w:rPr>
              <w:t xml:space="preserve">19200 Вт*г</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Номінальна напруга батарей</w:t>
            </w:r>
            <w:r/>
          </w:p>
        </w:tc>
        <w:tc>
          <w:tcPr>
            <w:shd w:val="clear" w:color="auto" w:fill="auto"/>
            <w:tcW w:w="2560"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48 В</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Життевий цикл батарейного блоку (кількість циклів повного заряду/розряду блоку батарей, після яких в ньому залишиться не менше ніж 80% від початкової номінальної ємності. Умови випробування: струм 0.2С, температура 25 градусів C.)</w:t>
            </w:r>
            <w:r/>
          </w:p>
        </w:tc>
        <w:tc>
          <w:tcPr>
            <w:shd w:val="clear" w:color="auto" w:fill="auto"/>
            <w:tcW w:w="2560"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6000 циклів </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Максимально можливий струм заряду батарейного блоку</w:t>
            </w:r>
            <w:r/>
          </w:p>
        </w:tc>
        <w:tc>
          <w:tcPr>
            <w:shd w:val="clear" w:color="auto" w:fill="auto"/>
            <w:tcW w:w="2560"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240 A</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Кількість та тип вбудованих вихідних роз'ємів з батарейним резервуванням та перемикачем вкл/викл</w:t>
            </w:r>
            <w:r/>
          </w:p>
        </w:tc>
        <w:tc>
          <w:tcPr>
            <w:shd w:val="clear" w:color="auto" w:fill="auto"/>
            <w:tcW w:w="256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8 х Schuko</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Окремий порт для підключення бензинового або дизель генератора</w:t>
            </w:r>
            <w:r/>
          </w:p>
        </w:tc>
        <w:tc>
          <w:tcPr>
            <w:shd w:val="clear" w:color="auto" w:fill="auto"/>
            <w:tcW w:w="256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Можливість обмеження потужності яку інвертор може брати з генератора</w:t>
            </w:r>
            <w:r/>
          </w:p>
        </w:tc>
        <w:tc>
          <w:tcPr>
            <w:shd w:val="clear" w:color="auto" w:fill="auto"/>
            <w:tcW w:w="2560" w:type="dxa"/>
            <w:vAlign w:val="center"/>
            <w:textDirection w:val="lrTb"/>
            <w:noWrap w:val="false"/>
          </w:tcPr>
          <w:p>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Так</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ніж 6 періодів для визначення часу заряду/розряду батарей</w:t>
            </w:r>
            <w:r/>
          </w:p>
        </w:tc>
        <w:tc>
          <w:tcPr>
            <w:shd w:val="clear" w:color="auto" w:fill="auto"/>
            <w:tcW w:w="256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Повністю небалансований вихід по кожній фазі</w:t>
            </w:r>
            <w:r/>
          </w:p>
        </w:tc>
        <w:tc>
          <w:tcPr>
            <w:shd w:val="clear" w:color="auto" w:fill="auto"/>
            <w:tcW w:w="256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Максимальна потужність по одній фазі не менше ніж 50% від загальної потужності інвертора</w:t>
            </w:r>
            <w:r/>
          </w:p>
        </w:tc>
        <w:tc>
          <w:tcPr>
            <w:shd w:val="clear" w:color="auto" w:fill="auto"/>
            <w:tcW w:w="256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Вбудований захист від перенавантаження в інверторі. </w:t>
            </w:r>
            <w:r/>
          </w:p>
        </w:tc>
        <w:tc>
          <w:tcPr>
            <w:shd w:val="clear" w:color="auto" w:fill="auto"/>
            <w:tcW w:w="256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Синхронізація </w:t>
            </w:r>
            <w:r>
              <w:rPr>
                <w:rFonts w:ascii="Times New Roman" w:hAnsi="Times New Roman" w:cs="Times New Roman"/>
                <w:color w:val="000000"/>
                <w:sz w:val="24"/>
                <w:szCs w:val="24"/>
                <w:lang w:val="en-US"/>
              </w:rPr>
              <w:t xml:space="preserve">BMS</w:t>
            </w:r>
            <w:r>
              <w:rPr>
                <w:rFonts w:ascii="Times New Roman" w:hAnsi="Times New Roman" w:cs="Times New Roman"/>
                <w:color w:val="000000"/>
                <w:sz w:val="24"/>
                <w:szCs w:val="24"/>
              </w:rPr>
              <w:t xml:space="preserve"> блоку батарей з інвертором </w:t>
            </w:r>
            <w:r/>
          </w:p>
        </w:tc>
        <w:tc>
          <w:tcPr>
            <w:shd w:val="clear" w:color="auto" w:fill="auto"/>
            <w:tcW w:w="256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tcPr>
          <w:p>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Додатковий зовнішній запобіжник/роз’єднувач по постійному струму зі швидким розщепленням</w:t>
            </w:r>
            <w:r/>
          </w:p>
        </w:tc>
        <w:tc>
          <w:tcPr>
            <w:shd w:val="clear" w:color="auto" w:fill="auto"/>
            <w:tcW w:w="256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tcPr>
          <w:p>
            <w:pPr>
              <w:spacing w:after="0" w:line="240" w:lineRule="auto"/>
              <w:rPr>
                <w:rFonts w:ascii="Times New Roman" w:hAnsi="Times New Roman" w:cs="Times New Roman"/>
                <w:color w:val="ff0000"/>
                <w:sz w:val="24"/>
                <w:szCs w:val="24"/>
              </w:rPr>
            </w:pPr>
            <w:r>
              <w:rPr>
                <w:rFonts w:ascii="Times New Roman" w:hAnsi="Times New Roman" w:cs="Times New Roman"/>
                <w:color w:val="000000"/>
                <w:sz w:val="24"/>
                <w:szCs w:val="24"/>
              </w:rPr>
              <w:t xml:space="preserve">Автоматичний захист по змінному струму</w:t>
            </w:r>
            <w:r/>
          </w:p>
        </w:tc>
        <w:tc>
          <w:tcPr>
            <w:shd w:val="clear" w:color="auto" w:fill="auto"/>
            <w:tcW w:w="256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Ручний перемикач для виключення системи зберігання енергії з ланцюга живлення навантаження (Для проведення діагностики і сервісного обслуговування системи) </w:t>
            </w:r>
            <w:r/>
          </w:p>
        </w:tc>
        <w:tc>
          <w:tcPr>
            <w:shd w:val="clear" w:color="auto" w:fill="auto"/>
            <w:tcW w:w="256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tcPr>
          <w:p>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WiFi</w:t>
            </w:r>
            <w:r>
              <w:rPr>
                <w:rFonts w:ascii="Times New Roman" w:hAnsi="Times New Roman" w:cs="Times New Roman"/>
                <w:sz w:val="24"/>
                <w:szCs w:val="24"/>
              </w:rPr>
              <w:t xml:space="preserve"> модуль для моніторингу стану системи в реальному часі</w:t>
            </w:r>
            <w:r/>
          </w:p>
        </w:tc>
        <w:tc>
          <w:tcPr>
            <w:shd w:val="clear" w:color="auto" w:fill="auto"/>
            <w:tcW w:w="2560" w:type="dxa"/>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Так</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Додаток для </w:t>
            </w:r>
            <w:r>
              <w:rPr>
                <w:rFonts w:ascii="Times New Roman" w:hAnsi="Times New Roman" w:cs="Times New Roman"/>
                <w:sz w:val="24"/>
                <w:szCs w:val="24"/>
                <w:lang w:val="en-US"/>
              </w:rPr>
              <w:t xml:space="preserve">Android</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IOS</w:t>
            </w:r>
            <w:r>
              <w:rPr>
                <w:rFonts w:ascii="Times New Roman" w:hAnsi="Times New Roman" w:cs="Times New Roman"/>
                <w:sz w:val="24"/>
                <w:szCs w:val="24"/>
              </w:rPr>
              <w:t xml:space="preserve"> з можливістю доступу до: статистики, стану споживання, параметрів, налаштувань, характеристик блоку батарей і інвертора. </w:t>
            </w:r>
            <w:r/>
          </w:p>
        </w:tc>
        <w:tc>
          <w:tcPr>
            <w:shd w:val="clear" w:color="auto" w:fill="auto"/>
            <w:tcW w:w="2560" w:type="dxa"/>
            <w:vAlign w:val="center"/>
            <w:textDirection w:val="lrTb"/>
            <w:noWrap w:val="false"/>
          </w:tcPr>
          <w:p>
            <w:pPr>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Так</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12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Додатковий опціонал/можливості</w:t>
            </w:r>
            <w:r/>
          </w:p>
        </w:tc>
        <w:tc>
          <w:tcPr>
            <w:shd w:val="clear" w:color="auto" w:fill="auto"/>
            <w:tcW w:w="256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Розумний режим заряду акумулятора для оптимізації терміну служби акумулятора</w:t>
            </w:r>
            <w:r>
              <w:rPr>
                <w:rFonts w:ascii="Times New Roman" w:hAnsi="Times New Roman" w:cs="Times New Roman"/>
                <w:sz w:val="24"/>
                <w:szCs w:val="24"/>
              </w:rPr>
              <w:br/>
              <w:t xml:space="preserve">Захист від перевантаження, високої температури, короткого замикання на виході інвертора, захист від перенапруги</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r>
        <w:trPr>
          <w:trHeight w:val="300"/>
        </w:trPr>
        <w:tc>
          <w:tcPr>
            <w:tcW w:w="506"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W w:w="1719"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shd w:val="clear" w:color="auto" w:fill="auto"/>
            <w:tcW w:w="4174" w:type="dxa"/>
            <w:vAlign w:val="center"/>
            <w:textDirection w:val="lrTb"/>
            <w:noWrap/>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Гарантія </w:t>
            </w:r>
            <w:r/>
          </w:p>
        </w:tc>
        <w:tc>
          <w:tcPr>
            <w:shd w:val="clear" w:color="auto" w:fill="auto"/>
            <w:tcW w:w="2560"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60 місяців</w:t>
            </w:r>
            <w:r/>
          </w:p>
        </w:tc>
        <w:tc>
          <w:tcPr>
            <w:tcW w:w="884" w:type="dxa"/>
            <w:vAlign w:val="center"/>
            <w:vMerge w:val="continue"/>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r>
    </w:tbl>
    <w:p>
      <w:pPr>
        <w:ind w:firstLine="263"/>
        <w:jc w:val="both"/>
        <w:rPr>
          <w:i/>
          <w:sz w:val="24"/>
          <w:szCs w:val="24"/>
        </w:rPr>
      </w:pPr>
      <w:r>
        <w:rPr>
          <w:i/>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263"/>
        <w:jc w:val="both"/>
        <w:spacing w:after="0" w:line="240"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contextualSpacing/>
        <w:ind w:firstLine="263"/>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r>
      <w:r/>
    </w:p>
    <w:p>
      <w:pPr>
        <w:contextualSpacing/>
        <w:ind w:firstLine="263"/>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Вимоги до предмету закупівлі:</w:t>
      </w:r>
      <w:r/>
    </w:p>
    <w:p>
      <w:pPr>
        <w:ind w:firstLine="263"/>
        <w:jc w:val="both"/>
        <w:spacing w:after="0" w:line="240" w:lineRule="auto"/>
        <w:rPr>
          <w:rFonts w:ascii="Times New Roman" w:hAnsi="Times New Roman" w:cs="Times New Roman"/>
          <w:sz w:val="24"/>
          <w:szCs w:val="24"/>
        </w:rPr>
      </w:pPr>
      <w:r/>
      <w:bookmarkStart w:id="1" w:name="_Hlk168910161"/>
      <w:r>
        <w:rPr>
          <w:rFonts w:ascii="Times New Roman" w:hAnsi="Times New Roman" w:cs="Times New Roman"/>
          <w:sz w:val="24"/>
          <w:szCs w:val="24"/>
        </w:rPr>
        <w:t xml:space="preserve">1. На підтвердження відповідності Товару, що є предметом закупівлі (система зберігання енергії) якісним характеристикам Учасник повинен надати: копії декларації про відповідність та сертифікату відповідності згідно з нормами чинного законодавства України.</w:t>
      </w:r>
      <w:r/>
    </w:p>
    <w:p>
      <w:pPr>
        <w:ind w:firstLine="26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На підтвердження відповідності санітарно-епідеміологічному законодавству Учасник повинен надати копію висновоку державної санітарно-епідеміологічної експертизи або інші документи згідно з нормами чинного законодавства України.</w:t>
      </w:r>
      <w:bookmarkEnd w:id="1"/>
      <w:r/>
      <w:r/>
    </w:p>
    <w:p>
      <w:pPr>
        <w:ind w:firstLine="26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Якщо Учасник не є виробником товару, що є предметом закупівлі (</w:t>
      </w:r>
      <w:r>
        <w:rPr>
          <w:rFonts w:ascii="Times New Roman" w:hAnsi="Times New Roman" w:cs="Times New Roman"/>
          <w:color w:val="000000"/>
          <w:sz w:val="24"/>
          <w:szCs w:val="24"/>
        </w:rPr>
        <w:t xml:space="preserve">система зберігання енергії</w:t>
      </w:r>
      <w:r>
        <w:rPr>
          <w:rFonts w:ascii="Times New Roman" w:hAnsi="Times New Roman" w:cs="Times New Roman"/>
          <w:sz w:val="24"/>
          <w:szCs w:val="24"/>
        </w:rPr>
        <w:t xml:space="preserve">), то він повинен надати лист від виробника продукції, який підтверджує партнерські повноваження учасника, а також гарантує наявність товару для відвантаження у необхідні терміни, його відповідність технічному завданню та п</w:t>
      </w:r>
      <w:r>
        <w:rPr>
          <w:rFonts w:ascii="Times New Roman" w:hAnsi="Times New Roman" w:cs="Times New Roman"/>
          <w:sz w:val="24"/>
          <w:szCs w:val="24"/>
        </w:rPr>
        <w:t xml:space="preserve">ідтверджує гарантійні зобов’язання у повному обсязі. Лист повинен бути адресований Учаснику або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w:t>
      </w:r>
      <w:r/>
    </w:p>
    <w:p>
      <w:pPr>
        <w:ind w:firstLine="26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w:t>
      </w:r>
      <w:r>
        <w:rPr>
          <w:rFonts w:ascii="Times New Roman" w:hAnsi="Times New Roman" w:cs="Times New Roman"/>
          <w:sz w:val="24"/>
          <w:szCs w:val="24"/>
        </w:rPr>
        <w:t xml:space="preserve">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r/>
    </w:p>
    <w:p>
      <w:pPr>
        <w:ind w:firstLine="26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Учасник надає перелік авторизованих сервісних центрів служби технічної підтримки, у яких буде здійснюв</w:t>
      </w:r>
      <w:r>
        <w:rPr>
          <w:rFonts w:ascii="Times New Roman" w:hAnsi="Times New Roman" w:cs="Times New Roman"/>
          <w:sz w:val="24"/>
          <w:szCs w:val="24"/>
        </w:rPr>
        <w:t xml:space="preserve">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r/>
    </w:p>
    <w:p>
      <w:pPr>
        <w:ind w:right="-1" w:firstLine="263"/>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6. Гарантійні листи повинні бути адресовані Замовнику із обов’язковим зазначенням найменування та номеру закупівлі.</w:t>
      </w:r>
      <w:r/>
    </w:p>
    <w:p>
      <w:pPr>
        <w:ind w:right="-1"/>
        <w:jc w:val="both"/>
        <w:spacing w:after="0" w:line="240" w:lineRule="auto"/>
        <w:widowControl w:val="off"/>
        <w:rPr>
          <w:sz w:val="24"/>
          <w:szCs w:val="24"/>
        </w:rPr>
      </w:pPr>
      <w:r>
        <w:rPr>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415 850,00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чотириста п’ятнадцять тисяч вісімсот п’ятдесят</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w:t>
      </w:r>
      <w:r>
        <w:rPr>
          <w:rFonts w:ascii="Times New Roman" w:hAnsi="Times New Roman" w:eastAsia="Times New Roman" w:cs="Times New Roman"/>
          <w:sz w:val="24"/>
          <w:szCs w:val="24"/>
          <w:lang w:eastAsia="ru-RU"/>
        </w:rPr>
        <w:t xml:space="preserve">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8">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8"/>
  </w:num>
  <w:num w:numId="3">
    <w:abstractNumId w:val="8"/>
  </w:num>
  <w:num w:numId="4">
    <w:abstractNumId w:val="26"/>
  </w:num>
  <w:num w:numId="5">
    <w:abstractNumId w:val="7"/>
  </w:num>
  <w:num w:numId="6">
    <w:abstractNumId w:val="33"/>
  </w:num>
  <w:num w:numId="7">
    <w:abstractNumId w:val="11"/>
  </w:num>
  <w:num w:numId="8">
    <w:abstractNumId w:val="35"/>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9"/>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20"/>
  </w:num>
  <w:num w:numId="26">
    <w:abstractNumId w:val="23"/>
  </w:num>
  <w:num w:numId="27">
    <w:abstractNumId w:val="30"/>
  </w:num>
  <w:num w:numId="28">
    <w:abstractNumId w:val="21"/>
  </w:num>
  <w:num w:numId="29">
    <w:abstractNumId w:val="31"/>
  </w:num>
  <w:num w:numId="30">
    <w:abstractNumId w:val="17"/>
  </w:num>
  <w:num w:numId="31">
    <w:abstractNumId w:val="3"/>
  </w:num>
  <w:num w:numId="32">
    <w:abstractNumId w:val="19"/>
  </w:num>
  <w:num w:numId="33">
    <w:abstractNumId w:val="16"/>
  </w:num>
  <w:num w:numId="34">
    <w:abstractNumId w:val="14"/>
  </w:num>
  <w:num w:numId="35">
    <w:abstractNumId w:val="37"/>
  </w:num>
  <w:num w:numId="36">
    <w:abstractNumId w:val="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8"/>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5"/>
    <w:next w:val="72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9"/>
    <w:link w:val="12"/>
    <w:uiPriority w:val="9"/>
    <w:rPr>
      <w:rFonts w:ascii="Arial" w:hAnsi="Arial" w:eastAsia="Arial" w:cs="Arial"/>
      <w:sz w:val="40"/>
      <w:szCs w:val="40"/>
    </w:rPr>
  </w:style>
  <w:style w:type="character" w:styleId="15">
    <w:name w:val="Heading 2 Char"/>
    <w:basedOn w:val="729"/>
    <w:link w:val="726"/>
    <w:uiPriority w:val="9"/>
    <w:rPr>
      <w:rFonts w:ascii="Arial" w:hAnsi="Arial" w:eastAsia="Arial" w:cs="Arial"/>
      <w:sz w:val="34"/>
    </w:rPr>
  </w:style>
  <w:style w:type="character" w:styleId="17">
    <w:name w:val="Heading 3 Char"/>
    <w:basedOn w:val="729"/>
    <w:link w:val="727"/>
    <w:uiPriority w:val="9"/>
    <w:rPr>
      <w:rFonts w:ascii="Arial" w:hAnsi="Arial" w:eastAsia="Arial" w:cs="Arial"/>
      <w:sz w:val="30"/>
      <w:szCs w:val="30"/>
    </w:rPr>
  </w:style>
  <w:style w:type="character" w:styleId="19">
    <w:name w:val="Heading 4 Char"/>
    <w:basedOn w:val="729"/>
    <w:link w:val="728"/>
    <w:uiPriority w:val="9"/>
    <w:rPr>
      <w:rFonts w:ascii="Arial" w:hAnsi="Arial" w:eastAsia="Arial" w:cs="Arial"/>
      <w:b/>
      <w:bCs/>
      <w:sz w:val="26"/>
      <w:szCs w:val="26"/>
    </w:rPr>
  </w:style>
  <w:style w:type="paragraph" w:styleId="20">
    <w:name w:val="Heading 5"/>
    <w:basedOn w:val="725"/>
    <w:next w:val="72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9"/>
    <w:link w:val="20"/>
    <w:uiPriority w:val="9"/>
    <w:rPr>
      <w:rFonts w:ascii="Arial" w:hAnsi="Arial" w:eastAsia="Arial" w:cs="Arial"/>
      <w:b/>
      <w:bCs/>
      <w:sz w:val="24"/>
      <w:szCs w:val="24"/>
    </w:rPr>
  </w:style>
  <w:style w:type="paragraph" w:styleId="22">
    <w:name w:val="Heading 6"/>
    <w:basedOn w:val="725"/>
    <w:next w:val="72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9"/>
    <w:link w:val="22"/>
    <w:uiPriority w:val="9"/>
    <w:rPr>
      <w:rFonts w:ascii="Arial" w:hAnsi="Arial" w:eastAsia="Arial" w:cs="Arial"/>
      <w:b/>
      <w:bCs/>
      <w:sz w:val="22"/>
      <w:szCs w:val="22"/>
    </w:rPr>
  </w:style>
  <w:style w:type="paragraph" w:styleId="24">
    <w:name w:val="Heading 7"/>
    <w:basedOn w:val="725"/>
    <w:next w:val="72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9"/>
    <w:link w:val="24"/>
    <w:uiPriority w:val="9"/>
    <w:rPr>
      <w:rFonts w:ascii="Arial" w:hAnsi="Arial" w:eastAsia="Arial" w:cs="Arial"/>
      <w:b/>
      <w:bCs/>
      <w:i/>
      <w:iCs/>
      <w:sz w:val="22"/>
      <w:szCs w:val="22"/>
    </w:rPr>
  </w:style>
  <w:style w:type="paragraph" w:styleId="26">
    <w:name w:val="Heading 8"/>
    <w:basedOn w:val="725"/>
    <w:next w:val="72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9"/>
    <w:link w:val="26"/>
    <w:uiPriority w:val="9"/>
    <w:rPr>
      <w:rFonts w:ascii="Arial" w:hAnsi="Arial" w:eastAsia="Arial" w:cs="Arial"/>
      <w:i/>
      <w:iCs/>
      <w:sz w:val="22"/>
      <w:szCs w:val="22"/>
    </w:rPr>
  </w:style>
  <w:style w:type="paragraph" w:styleId="28">
    <w:name w:val="Heading 9"/>
    <w:basedOn w:val="725"/>
    <w:next w:val="72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9"/>
    <w:link w:val="28"/>
    <w:uiPriority w:val="9"/>
    <w:rPr>
      <w:rFonts w:ascii="Arial" w:hAnsi="Arial" w:eastAsia="Arial" w:cs="Arial"/>
      <w:i/>
      <w:iCs/>
      <w:sz w:val="21"/>
      <w:szCs w:val="21"/>
    </w:rPr>
  </w:style>
  <w:style w:type="paragraph" w:styleId="33">
    <w:name w:val="Title"/>
    <w:basedOn w:val="725"/>
    <w:next w:val="725"/>
    <w:link w:val="34"/>
    <w:uiPriority w:val="10"/>
    <w:qFormat/>
    <w:pPr>
      <w:contextualSpacing/>
      <w:spacing w:before="300" w:after="200"/>
    </w:pPr>
    <w:rPr>
      <w:sz w:val="48"/>
      <w:szCs w:val="48"/>
    </w:rPr>
  </w:style>
  <w:style w:type="character" w:styleId="34">
    <w:name w:val="Title Char"/>
    <w:basedOn w:val="729"/>
    <w:link w:val="33"/>
    <w:uiPriority w:val="10"/>
    <w:rPr>
      <w:sz w:val="48"/>
      <w:szCs w:val="48"/>
    </w:rPr>
  </w:style>
  <w:style w:type="paragraph" w:styleId="35">
    <w:name w:val="Subtitle"/>
    <w:basedOn w:val="725"/>
    <w:next w:val="725"/>
    <w:link w:val="36"/>
    <w:uiPriority w:val="11"/>
    <w:qFormat/>
    <w:pPr>
      <w:spacing w:before="200" w:after="200"/>
    </w:pPr>
    <w:rPr>
      <w:sz w:val="24"/>
      <w:szCs w:val="24"/>
    </w:rPr>
  </w:style>
  <w:style w:type="character" w:styleId="36">
    <w:name w:val="Subtitle Char"/>
    <w:basedOn w:val="729"/>
    <w:link w:val="35"/>
    <w:uiPriority w:val="11"/>
    <w:rPr>
      <w:sz w:val="24"/>
      <w:szCs w:val="24"/>
    </w:rPr>
  </w:style>
  <w:style w:type="paragraph" w:styleId="37">
    <w:name w:val="Quote"/>
    <w:basedOn w:val="725"/>
    <w:next w:val="725"/>
    <w:link w:val="38"/>
    <w:uiPriority w:val="29"/>
    <w:qFormat/>
    <w:pPr>
      <w:ind w:left="720" w:right="720"/>
    </w:pPr>
    <w:rPr>
      <w:i/>
    </w:rPr>
  </w:style>
  <w:style w:type="character" w:styleId="38">
    <w:name w:val="Quote Char"/>
    <w:link w:val="37"/>
    <w:uiPriority w:val="29"/>
    <w:rPr>
      <w:i/>
    </w:rPr>
  </w:style>
  <w:style w:type="paragraph" w:styleId="39">
    <w:name w:val="Intense Quote"/>
    <w:basedOn w:val="725"/>
    <w:next w:val="72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5"/>
    <w:link w:val="42"/>
    <w:uiPriority w:val="99"/>
    <w:unhideWhenUsed/>
    <w:pPr>
      <w:spacing w:after="0" w:line="240" w:lineRule="auto"/>
      <w:tabs>
        <w:tab w:val="center" w:pos="7143" w:leader="none"/>
        <w:tab w:val="right" w:pos="14287" w:leader="none"/>
      </w:tabs>
    </w:pPr>
  </w:style>
  <w:style w:type="character" w:styleId="42">
    <w:name w:val="Header Char"/>
    <w:basedOn w:val="729"/>
    <w:link w:val="41"/>
    <w:uiPriority w:val="99"/>
  </w:style>
  <w:style w:type="character" w:styleId="44">
    <w:name w:val="Footer Char"/>
    <w:basedOn w:val="729"/>
    <w:link w:val="738"/>
    <w:uiPriority w:val="99"/>
  </w:style>
  <w:style w:type="paragraph" w:styleId="45">
    <w:name w:val="Caption"/>
    <w:basedOn w:val="725"/>
    <w:next w:val="725"/>
    <w:uiPriority w:val="35"/>
    <w:semiHidden/>
    <w:unhideWhenUsed/>
    <w:qFormat/>
    <w:pPr>
      <w:spacing w:line="276" w:lineRule="auto"/>
    </w:pPr>
    <w:rPr>
      <w:b/>
      <w:bCs/>
      <w:color w:val="4f81bd" w:themeColor="accent1"/>
      <w:sz w:val="18"/>
      <w:szCs w:val="18"/>
    </w:rPr>
  </w:style>
  <w:style w:type="character" w:styleId="46">
    <w:name w:val="Caption Char"/>
    <w:basedOn w:val="45"/>
    <w:link w:val="738"/>
    <w:uiPriority w:val="99"/>
  </w:style>
  <w:style w:type="table" w:styleId="48">
    <w:name w:val="Table Grid Light"/>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9"/>
    <w:uiPriority w:val="99"/>
    <w:unhideWhenUsed/>
    <w:rPr>
      <w:vertAlign w:val="superscript"/>
    </w:rPr>
  </w:style>
  <w:style w:type="paragraph" w:styleId="177">
    <w:name w:val="endnote text"/>
    <w:basedOn w:val="72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9"/>
    <w:uiPriority w:val="99"/>
    <w:semiHidden/>
    <w:unhideWhenUsed/>
    <w:rPr>
      <w:vertAlign w:val="superscript"/>
    </w:rPr>
  </w:style>
  <w:style w:type="paragraph" w:styleId="180">
    <w:name w:val="toc 1"/>
    <w:basedOn w:val="725"/>
    <w:next w:val="725"/>
    <w:uiPriority w:val="39"/>
    <w:unhideWhenUsed/>
    <w:pPr>
      <w:ind w:left="0" w:right="0" w:firstLine="0"/>
      <w:spacing w:after="57"/>
    </w:pPr>
  </w:style>
  <w:style w:type="paragraph" w:styleId="181">
    <w:name w:val="toc 2"/>
    <w:basedOn w:val="725"/>
    <w:next w:val="725"/>
    <w:uiPriority w:val="39"/>
    <w:unhideWhenUsed/>
    <w:pPr>
      <w:ind w:left="283" w:right="0" w:firstLine="0"/>
      <w:spacing w:after="57"/>
    </w:pPr>
  </w:style>
  <w:style w:type="paragraph" w:styleId="182">
    <w:name w:val="toc 3"/>
    <w:basedOn w:val="725"/>
    <w:next w:val="725"/>
    <w:uiPriority w:val="39"/>
    <w:unhideWhenUsed/>
    <w:pPr>
      <w:ind w:left="567" w:right="0" w:firstLine="0"/>
      <w:spacing w:after="57"/>
    </w:pPr>
  </w:style>
  <w:style w:type="paragraph" w:styleId="183">
    <w:name w:val="toc 4"/>
    <w:basedOn w:val="725"/>
    <w:next w:val="725"/>
    <w:uiPriority w:val="39"/>
    <w:unhideWhenUsed/>
    <w:pPr>
      <w:ind w:left="850" w:right="0" w:firstLine="0"/>
      <w:spacing w:after="57"/>
    </w:pPr>
  </w:style>
  <w:style w:type="paragraph" w:styleId="184">
    <w:name w:val="toc 5"/>
    <w:basedOn w:val="725"/>
    <w:next w:val="725"/>
    <w:uiPriority w:val="39"/>
    <w:unhideWhenUsed/>
    <w:pPr>
      <w:ind w:left="1134" w:right="0" w:firstLine="0"/>
      <w:spacing w:after="57"/>
    </w:pPr>
  </w:style>
  <w:style w:type="paragraph" w:styleId="185">
    <w:name w:val="toc 6"/>
    <w:basedOn w:val="725"/>
    <w:next w:val="725"/>
    <w:uiPriority w:val="39"/>
    <w:unhideWhenUsed/>
    <w:pPr>
      <w:ind w:left="1417" w:right="0" w:firstLine="0"/>
      <w:spacing w:after="57"/>
    </w:pPr>
  </w:style>
  <w:style w:type="paragraph" w:styleId="186">
    <w:name w:val="toc 7"/>
    <w:basedOn w:val="725"/>
    <w:next w:val="725"/>
    <w:uiPriority w:val="39"/>
    <w:unhideWhenUsed/>
    <w:pPr>
      <w:ind w:left="1701" w:right="0" w:firstLine="0"/>
      <w:spacing w:after="57"/>
    </w:pPr>
  </w:style>
  <w:style w:type="paragraph" w:styleId="187">
    <w:name w:val="toc 8"/>
    <w:basedOn w:val="725"/>
    <w:next w:val="725"/>
    <w:uiPriority w:val="39"/>
    <w:unhideWhenUsed/>
    <w:pPr>
      <w:ind w:left="1984" w:right="0" w:firstLine="0"/>
      <w:spacing w:after="57"/>
    </w:pPr>
  </w:style>
  <w:style w:type="paragraph" w:styleId="188">
    <w:name w:val="toc 9"/>
    <w:basedOn w:val="725"/>
    <w:next w:val="72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5"/>
    <w:next w:val="725"/>
    <w:uiPriority w:val="99"/>
    <w:unhideWhenUsed/>
    <w:pPr>
      <w:spacing w:after="0" w:afterAutospacing="0"/>
    </w:pPr>
  </w:style>
  <w:style w:type="paragraph" w:styleId="725" w:default="1">
    <w:name w:val="Normal"/>
    <w:qFormat/>
    <w:rPr>
      <w:lang w:val="uk-UA"/>
    </w:rPr>
  </w:style>
  <w:style w:type="paragraph" w:styleId="726">
    <w:name w:val="Heading 2"/>
    <w:basedOn w:val="725"/>
    <w:link w:val="74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7">
    <w:name w:val="Heading 3"/>
    <w:basedOn w:val="725"/>
    <w:next w:val="725"/>
    <w:link w:val="76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8">
    <w:name w:val="Heading 4"/>
    <w:basedOn w:val="725"/>
    <w:next w:val="725"/>
    <w:link w:val="76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9" w:default="1">
    <w:name w:val="Default Paragraph Font"/>
    <w:uiPriority w:val="1"/>
    <w:semiHidden/>
    <w:unhideWhenUsed/>
  </w:style>
  <w:style w:type="table" w:styleId="730" w:default="1">
    <w:name w:val="Normal Table"/>
    <w:uiPriority w:val="99"/>
    <w:semiHidden/>
    <w:unhideWhenUsed/>
    <w:tblPr>
      <w:tblInd w:w="0" w:type="dxa"/>
      <w:tblCellMar>
        <w:left w:w="108" w:type="dxa"/>
        <w:top w:w="0" w:type="dxa"/>
        <w:right w:w="108" w:type="dxa"/>
        <w:bottom w:w="0" w:type="dxa"/>
      </w:tblCellMar>
    </w:tblPr>
  </w:style>
  <w:style w:type="numbering" w:styleId="731" w:default="1">
    <w:name w:val="No List"/>
    <w:uiPriority w:val="99"/>
    <w:semiHidden/>
    <w:unhideWhenUsed/>
  </w:style>
  <w:style w:type="paragraph" w:styleId="732">
    <w:name w:val="List Paragraph"/>
    <w:basedOn w:val="725"/>
    <w:link w:val="733"/>
    <w:uiPriority w:val="34"/>
    <w:qFormat/>
    <w:pPr>
      <w:contextualSpacing/>
      <w:ind w:left="720"/>
      <w:spacing w:after="200" w:line="276" w:lineRule="auto"/>
    </w:pPr>
    <w:rPr>
      <w:rFonts w:ascii="Calibri" w:hAnsi="Calibri" w:eastAsia="Calibri" w:cs="Calibri"/>
      <w:lang w:val="ru-RU" w:eastAsia="zh-CN"/>
    </w:rPr>
  </w:style>
  <w:style w:type="character" w:styleId="733" w:customStyle="1">
    <w:name w:val="Абзац списку Знак"/>
    <w:link w:val="732"/>
    <w:uiPriority w:val="34"/>
    <w:qFormat/>
    <w:rPr>
      <w:rFonts w:ascii="Calibri" w:hAnsi="Calibri" w:eastAsia="Calibri" w:cs="Calibri"/>
      <w:lang w:eastAsia="zh-CN"/>
    </w:rPr>
  </w:style>
  <w:style w:type="table" w:styleId="734">
    <w:name w:val="Table Grid"/>
    <w:basedOn w:val="73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5" w:customStyle="1">
    <w:name w:val="Сетка таблицы2"/>
    <w:basedOn w:val="730"/>
    <w:next w:val="73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6">
    <w:name w:val="Normal (Web)"/>
    <w:basedOn w:val="725"/>
    <w:link w:val="743"/>
    <w:unhideWhenUsed/>
    <w:qFormat/>
    <w:rPr>
      <w:rFonts w:ascii="Times New Roman" w:hAnsi="Times New Roman" w:cs="Times New Roman"/>
      <w:sz w:val="24"/>
      <w:szCs w:val="24"/>
    </w:rPr>
  </w:style>
  <w:style w:type="table" w:styleId="737" w:customStyle="1">
    <w:name w:val="Сетка таблицы1"/>
    <w:basedOn w:val="730"/>
    <w:next w:val="73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Footer"/>
    <w:basedOn w:val="725"/>
    <w:link w:val="73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9" w:customStyle="1">
    <w:name w:val="Нижній колонтитул Знак"/>
    <w:basedOn w:val="729"/>
    <w:link w:val="738"/>
    <w:uiPriority w:val="99"/>
    <w:rPr>
      <w:rFonts w:ascii="Calibri" w:hAnsi="Calibri" w:eastAsia="Calibri" w:cs="Calibri"/>
      <w:lang w:eastAsia="zh-CN"/>
    </w:rPr>
  </w:style>
  <w:style w:type="paragraph" w:styleId="74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1">
    <w:name w:val="Hyperlink"/>
    <w:basedOn w:val="729"/>
    <w:uiPriority w:val="99"/>
    <w:unhideWhenUsed/>
    <w:rPr>
      <w:color w:val="0563c1" w:themeColor="hyperlink"/>
      <w:u w:val="single"/>
    </w:rPr>
  </w:style>
  <w:style w:type="character" w:styleId="742" w:customStyle="1">
    <w:name w:val="xfm_93972720"/>
    <w:basedOn w:val="729"/>
  </w:style>
  <w:style w:type="character" w:styleId="743" w:customStyle="1">
    <w:name w:val="Звичайний (веб) Знак"/>
    <w:link w:val="736"/>
    <w:qFormat/>
    <w:rPr>
      <w:rFonts w:ascii="Times New Roman" w:hAnsi="Times New Roman" w:cs="Times New Roman"/>
      <w:sz w:val="24"/>
      <w:szCs w:val="24"/>
      <w:lang w:val="uk-UA"/>
    </w:rPr>
  </w:style>
  <w:style w:type="paragraph" w:styleId="744">
    <w:name w:val="Body Text 2"/>
    <w:basedOn w:val="725"/>
    <w:link w:val="745"/>
    <w:pPr>
      <w:spacing w:after="0" w:line="240" w:lineRule="auto"/>
    </w:pPr>
    <w:rPr>
      <w:rFonts w:ascii="Times New Roman" w:hAnsi="Times New Roman" w:eastAsia="Times New Roman" w:cs="Times New Roman"/>
      <w:sz w:val="28"/>
      <w:szCs w:val="20"/>
      <w:lang w:val="ru-RU" w:eastAsia="ru-RU"/>
    </w:rPr>
  </w:style>
  <w:style w:type="character" w:styleId="745" w:customStyle="1">
    <w:name w:val="Основний текст 2 Знак"/>
    <w:basedOn w:val="729"/>
    <w:link w:val="744"/>
    <w:rPr>
      <w:rFonts w:ascii="Times New Roman" w:hAnsi="Times New Roman" w:eastAsia="Times New Roman" w:cs="Times New Roman"/>
      <w:sz w:val="28"/>
      <w:szCs w:val="20"/>
      <w:lang w:eastAsia="ru-RU"/>
    </w:rPr>
  </w:style>
  <w:style w:type="paragraph" w:styleId="74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7" w:customStyle="1">
    <w:name w:val="Заголовок 2 Знак"/>
    <w:basedOn w:val="729"/>
    <w:link w:val="726"/>
    <w:uiPriority w:val="9"/>
    <w:rPr>
      <w:rFonts w:ascii="Times New Roman" w:hAnsi="Times New Roman" w:eastAsia="Times New Roman" w:cs="Times New Roman"/>
      <w:b/>
      <w:bCs/>
      <w:sz w:val="36"/>
      <w:szCs w:val="36"/>
      <w:lang w:val="uk-UA" w:eastAsia="uk-UA"/>
    </w:rPr>
  </w:style>
  <w:style w:type="paragraph" w:styleId="748">
    <w:name w:val="No Spacing"/>
    <w:link w:val="749"/>
    <w:uiPriority w:val="1"/>
    <w:qFormat/>
    <w:pPr>
      <w:spacing w:after="0" w:line="240" w:lineRule="auto"/>
    </w:pPr>
    <w:rPr>
      <w:rFonts w:ascii="Calibri" w:hAnsi="Calibri" w:eastAsia="Calibri" w:cs="Times New Roman"/>
      <w:lang w:val="uk-UA"/>
    </w:rPr>
  </w:style>
  <w:style w:type="character" w:styleId="749" w:customStyle="1">
    <w:name w:val="Без інтервалів Знак"/>
    <w:basedOn w:val="729"/>
    <w:link w:val="748"/>
    <w:uiPriority w:val="1"/>
    <w:rPr>
      <w:rFonts w:ascii="Calibri" w:hAnsi="Calibri" w:eastAsia="Calibri" w:cs="Times New Roman"/>
      <w:lang w:val="uk-UA"/>
    </w:rPr>
  </w:style>
  <w:style w:type="character" w:styleId="750" w:customStyle="1">
    <w:name w:val="Другое_"/>
    <w:basedOn w:val="729"/>
    <w:link w:val="751"/>
    <w:rPr>
      <w:rFonts w:ascii="Calibri" w:hAnsi="Calibri" w:eastAsia="Calibri" w:cs="Calibri"/>
      <w:sz w:val="20"/>
      <w:szCs w:val="20"/>
    </w:rPr>
  </w:style>
  <w:style w:type="paragraph" w:styleId="751" w:customStyle="1">
    <w:name w:val="Другое"/>
    <w:basedOn w:val="725"/>
    <w:link w:val="750"/>
    <w:qFormat/>
    <w:pPr>
      <w:spacing w:after="0" w:line="240" w:lineRule="auto"/>
      <w:widowControl w:val="off"/>
    </w:pPr>
    <w:rPr>
      <w:rFonts w:ascii="Calibri" w:hAnsi="Calibri" w:eastAsia="Calibri" w:cs="Calibri"/>
      <w:sz w:val="20"/>
      <w:szCs w:val="20"/>
      <w:lang w:val="ru-RU"/>
    </w:rPr>
  </w:style>
  <w:style w:type="paragraph" w:styleId="75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3" w:customStyle="1">
    <w:name w:val="Основной текст (2)_"/>
    <w:basedOn w:val="729"/>
    <w:link w:val="754"/>
    <w:rPr>
      <w:rFonts w:eastAsia="Times New Roman" w:cs="Times New Roman"/>
      <w:shd w:val="clear" w:color="auto" w:fill="ffffff"/>
    </w:rPr>
  </w:style>
  <w:style w:type="paragraph" w:styleId="754" w:customStyle="1">
    <w:name w:val="Основной текст (2)"/>
    <w:basedOn w:val="725"/>
    <w:link w:val="753"/>
    <w:pPr>
      <w:ind w:hanging="700"/>
      <w:jc w:val="both"/>
      <w:spacing w:before="240" w:after="480" w:line="0" w:lineRule="atLeast"/>
      <w:shd w:val="clear" w:color="auto" w:fill="ffffff"/>
      <w:widowControl w:val="off"/>
    </w:pPr>
    <w:rPr>
      <w:rFonts w:eastAsia="Times New Roman" w:cs="Times New Roman"/>
      <w:lang w:val="ru-RU"/>
    </w:rPr>
  </w:style>
  <w:style w:type="character" w:styleId="755" w:customStyle="1">
    <w:name w:val="Текст у виносці Знак"/>
    <w:basedOn w:val="729"/>
    <w:link w:val="756"/>
    <w:uiPriority w:val="99"/>
    <w:semiHidden/>
    <w:rPr>
      <w:rFonts w:ascii="Segoe UI" w:hAnsi="Segoe UI" w:eastAsia="Times New Roman" w:cs="Segoe UI"/>
      <w:sz w:val="18"/>
      <w:szCs w:val="18"/>
      <w:lang w:eastAsia="ru-RU"/>
    </w:rPr>
  </w:style>
  <w:style w:type="paragraph" w:styleId="756">
    <w:name w:val="Balloon Text"/>
    <w:basedOn w:val="725"/>
    <w:link w:val="75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7" w:customStyle="1">
    <w:name w:val="Текст у виносці Знак1"/>
    <w:basedOn w:val="729"/>
    <w:uiPriority w:val="99"/>
    <w:semiHidden/>
    <w:rPr>
      <w:rFonts w:ascii="Segoe UI" w:hAnsi="Segoe UI" w:cs="Segoe UI"/>
      <w:sz w:val="18"/>
      <w:szCs w:val="18"/>
      <w:lang w:val="uk-UA"/>
    </w:rPr>
  </w:style>
  <w:style w:type="character" w:styleId="758" w:customStyle="1">
    <w:name w:val="T23"/>
    <w:rPr>
      <w:rFonts w:hint="default" w:ascii="Times New Roman" w:hAnsi="Times New Roman" w:eastAsia="Times New Roman1" w:cs="Times New Roman"/>
    </w:rPr>
  </w:style>
  <w:style w:type="paragraph" w:styleId="759" w:customStyle="1">
    <w:name w:val="Абзац списку1"/>
    <w:basedOn w:val="72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0" w:customStyle="1">
    <w:name w:val="markedcontent"/>
    <w:basedOn w:val="729"/>
  </w:style>
  <w:style w:type="paragraph" w:styleId="761">
    <w:name w:val="annotation text"/>
    <w:basedOn w:val="725"/>
    <w:link w:val="76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2" w:customStyle="1">
    <w:name w:val="Текст примітки Знак"/>
    <w:basedOn w:val="729"/>
    <w:link w:val="761"/>
    <w:uiPriority w:val="99"/>
    <w:rPr>
      <w:rFonts w:ascii="Times New Roman" w:hAnsi="Times New Roman" w:eastAsia="Times New Roman" w:cs="Times New Roman"/>
      <w:sz w:val="20"/>
      <w:szCs w:val="20"/>
      <w:lang w:eastAsia="ru-RU"/>
    </w:rPr>
  </w:style>
  <w:style w:type="character" w:styleId="763" w:customStyle="1">
    <w:name w:val="docdata"/>
    <w:basedOn w:val="729"/>
  </w:style>
  <w:style w:type="character" w:styleId="764" w:customStyle="1">
    <w:name w:val="Заголовок 3 Знак"/>
    <w:basedOn w:val="729"/>
    <w:link w:val="727"/>
    <w:uiPriority w:val="9"/>
    <w:semiHidden/>
    <w:rPr>
      <w:rFonts w:asciiTheme="majorHAnsi" w:hAnsiTheme="majorHAnsi" w:eastAsiaTheme="majorEastAsia" w:cstheme="majorBidi"/>
      <w:color w:val="1f4d78" w:themeColor="accent1" w:themeShade="7F"/>
      <w:sz w:val="24"/>
      <w:szCs w:val="24"/>
      <w:lang w:val="uk-UA"/>
    </w:rPr>
  </w:style>
  <w:style w:type="character" w:styleId="765" w:customStyle="1">
    <w:name w:val="Заголовок 4 Знак"/>
    <w:basedOn w:val="729"/>
    <w:link w:val="728"/>
    <w:uiPriority w:val="9"/>
    <w:semiHidden/>
    <w:rPr>
      <w:rFonts w:asciiTheme="majorHAnsi" w:hAnsiTheme="majorHAnsi" w:eastAsiaTheme="majorEastAsia" w:cstheme="majorBidi"/>
      <w:i/>
      <w:iCs/>
      <w:color w:val="2e74b5" w:themeColor="accent1" w:themeShade="BF"/>
      <w:lang w:val="uk-UA"/>
    </w:rPr>
  </w:style>
  <w:style w:type="paragraph" w:styleId="766" w:customStyle="1">
    <w:name w:val="name-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7" w:customStyle="1">
    <w:name w:val="cont-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8">
    <w:name w:val="Strong"/>
    <w:basedOn w:val="729"/>
    <w:uiPriority w:val="22"/>
    <w:qFormat/>
    <w:rPr>
      <w:b/>
      <w:bCs/>
    </w:rPr>
  </w:style>
  <w:style w:type="paragraph" w:styleId="769" w:customStyle="1">
    <w:name w:val="rvps6"/>
    <w:basedOn w:val="725"/>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0"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165</cp:revision>
  <dcterms:created xsi:type="dcterms:W3CDTF">2022-11-01T12:47:00Z</dcterms:created>
  <dcterms:modified xsi:type="dcterms:W3CDTF">2024-06-28T07:40:15Z</dcterms:modified>
</cp:coreProperties>
</file>