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eastAsia="ru-RU"/>
        </w:rPr>
        <w:t xml:space="preserve">Послуги з питань автоматизованого визначення вартості будівельних роб</w:t>
      </w:r>
      <w:r>
        <w:rPr>
          <w:b w:val="0"/>
          <w:bCs w:val="0"/>
          <w:sz w:val="24"/>
          <w:szCs w:val="24"/>
          <w:lang w:eastAsia="ru-RU"/>
        </w:rPr>
        <w:t xml:space="preserve">іт при застосуванні Програмного комплексу  АВК-5 "Автоматизований  випуск  на  ПЕОМ   кошторисно-ресурсної  документації" (далі  по  тексту  ПК  АВК-5) для користування, шляхом надання інсталяційних паролів для 2 робочих місць (2 з підсистемою "Підрядник")</w:t>
      </w:r>
      <w:r>
        <w:rPr>
          <w:b w:val="0"/>
          <w:bCs w:val="0"/>
          <w:sz w:val="24"/>
          <w:szCs w:val="24"/>
          <w:lang w:val="ru-RU" w:eastAsia="ru-RU"/>
        </w:rPr>
        <w:t xml:space="preserve"> </w:t>
      </w:r>
      <w:r>
        <w:rPr>
          <w:b w:val="0"/>
          <w:bCs w:val="0"/>
          <w:sz w:val="24"/>
          <w:szCs w:val="24"/>
          <w:lang w:eastAsia="ru-RU"/>
        </w:rPr>
        <w:t xml:space="preserve">за кодом </w:t>
      </w:r>
      <w:r>
        <w:rPr>
          <w:b w:val="0"/>
          <w:bCs w:val="0"/>
          <w:sz w:val="24"/>
          <w:szCs w:val="24"/>
          <w:lang w:val="en-US" w:eastAsia="ru-RU"/>
        </w:rPr>
        <w:t xml:space="preserve">CPV</w:t>
      </w:r>
      <w:r>
        <w:rPr>
          <w:b w:val="0"/>
          <w:bCs w:val="0"/>
          <w:sz w:val="24"/>
          <w:szCs w:val="24"/>
          <w:lang w:eastAsia="ru-RU"/>
        </w:rPr>
        <w:t xml:space="preserve"> за ЄЗС ДК 021:2015:72260000-5 Послуги, пов’язані з програмним забезпеченням</w:t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6433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Послуги з питань автоматизованого визначення вартості будівельних роб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іт при застосуванні Програмного комплексу  АВК-5 "Автоматизований  випуск  на  ПЕОМ   кошторисно-ресурсної  документації" (далі  по  тексту  ПК  АВК-5) для користування, шляхом надання інсталяційних паролів для 2 робочих місць (2 з підсистемою "Підрядник")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pStyle w:val="683"/>
        <w:jc w:val="center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  <w:lang w:eastAsia="ru-RU"/>
        </w:rPr>
        <w:t xml:space="preserve">Послуги з питань автоматизованого визначення вартості будівельних роб</w:t>
      </w:r>
      <w:r>
        <w:rPr>
          <w:sz w:val="24"/>
          <w:szCs w:val="24"/>
          <w:lang w:eastAsia="ru-RU"/>
        </w:rPr>
        <w:t xml:space="preserve">іт при застосуванні Програмного комплексу  АВК-5 "Автоматизований  випуск  на  ПЕОМ   кошторисно-ресурсної  документації" (далі  по  тексту  ПК  АВК-5) для користування, шляхом надання інсталяційних паролів для 2 робочих місць (2 з підсистемою "Підрядник")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 xml:space="preserve">за кодом </w:t>
      </w:r>
      <w:r>
        <w:rPr>
          <w:sz w:val="24"/>
          <w:szCs w:val="24"/>
          <w:lang w:val="en-US" w:eastAsia="ru-RU"/>
        </w:rPr>
        <w:t xml:space="preserve">CPV</w:t>
      </w:r>
      <w:r>
        <w:rPr>
          <w:sz w:val="24"/>
          <w:szCs w:val="24"/>
          <w:lang w:eastAsia="ru-RU"/>
        </w:rPr>
        <w:t xml:space="preserve"> за ЄЗС ДК 021:2015:72260000-5 Послуги, пов’язані з програмним забезпеченням</w:t>
      </w:r>
      <w:r/>
    </w:p>
    <w:p>
      <w:pPr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</w:r>
      <w:r/>
    </w:p>
    <w:p>
      <w:pPr>
        <w:pStyle w:val="709"/>
        <w:ind w:left="567" w:firstLine="0"/>
        <w:jc w:val="center"/>
        <w:spacing w:before="0" w:after="0" w:line="240" w:lineRule="auto"/>
        <w:shd w:val="clear" w:color="auto" w:fill="auto"/>
        <w:tabs>
          <w:tab w:val="left" w:pos="993" w:leader="none"/>
          <w:tab w:val="left" w:pos="14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ТЕХНІЧНІ ВИМОГИ</w:t>
      </w:r>
      <w:r/>
    </w:p>
    <w:tbl>
      <w:tblPr>
        <w:tblW w:w="9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521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питань автомат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изованого визначення вартості будівельних робіт при застосуванні Програмного комплексу  АВК-5 "Автоматизований  випуск  на  ПЕОМ   кошторисно-ресурсної  документації" (далі  по  тексту  ПК  АВК-5) для користування, шляхом надання інсталяційних паролів для </w:t>
            </w:r>
            <w:bookmarkStart w:id="0" w:name="kol1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робочих місць (</w:t>
            </w:r>
            <w:bookmarkStart w:id="1" w:name="kol2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 підсистемою "Підрядник")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Якість наданих Виконавцем Послуг повинна відповідати вимогам законодавства.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 п’ятсот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8" w:customStyle="1">
    <w:name w:val="Основной текст (2)_"/>
    <w:basedOn w:val="684"/>
    <w:link w:val="709"/>
    <w:rPr>
      <w:rFonts w:eastAsia="Times New Roman" w:cs="Times New Roman"/>
      <w:shd w:val="clear" w:color="auto" w:fill="ffffff"/>
    </w:rPr>
  </w:style>
  <w:style w:type="paragraph" w:styleId="709" w:customStyle="1">
    <w:name w:val="Основной текст (2)"/>
    <w:basedOn w:val="682"/>
    <w:link w:val="708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114</cp:revision>
  <dcterms:created xsi:type="dcterms:W3CDTF">2022-11-01T12:47:00Z</dcterms:created>
  <dcterms:modified xsi:type="dcterms:W3CDTF">2023-06-24T08:02:49Z</dcterms:modified>
</cp:coreProperties>
</file>