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F33C8A8" w:rsidR="00E1484E" w:rsidRPr="00FD01AD"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85869" w:rsidRPr="00185869">
        <w:rPr>
          <w:b w:val="0"/>
          <w:bCs w:val="0"/>
          <w:spacing w:val="1"/>
          <w:sz w:val="24"/>
          <w:szCs w:val="24"/>
        </w:rPr>
        <w:t>Закупівля послуг з монтажу комплексів автоматичної фото- та відеофіксації правопорушень у сфері забезпечення безпеки дорожнього руху «EXPERT-FS»,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D7CA36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990EC5">
        <w:rPr>
          <w:rFonts w:ascii="Times New Roman" w:hAnsi="Times New Roman" w:cs="Times New Roman"/>
          <w:sz w:val="24"/>
          <w:szCs w:val="24"/>
        </w:rPr>
        <w:t>6</w:t>
      </w:r>
      <w:r w:rsidR="00F60A0F" w:rsidRPr="00F90C90">
        <w:rPr>
          <w:rFonts w:ascii="Times New Roman" w:hAnsi="Times New Roman" w:cs="Times New Roman"/>
          <w:sz w:val="24"/>
          <w:szCs w:val="24"/>
        </w:rPr>
        <w:t>-</w:t>
      </w:r>
      <w:r w:rsidR="00177949">
        <w:rPr>
          <w:rFonts w:ascii="Times New Roman" w:hAnsi="Times New Roman" w:cs="Times New Roman"/>
          <w:sz w:val="24"/>
          <w:szCs w:val="24"/>
        </w:rPr>
        <w:t>0</w:t>
      </w:r>
      <w:r w:rsidR="00990EC5">
        <w:rPr>
          <w:rFonts w:ascii="Times New Roman" w:hAnsi="Times New Roman" w:cs="Times New Roman"/>
          <w:sz w:val="24"/>
          <w:szCs w:val="24"/>
        </w:rPr>
        <w:t>2</w:t>
      </w:r>
      <w:r w:rsidR="001944C8">
        <w:rPr>
          <w:rFonts w:ascii="Times New Roman" w:hAnsi="Times New Roman" w:cs="Times New Roman"/>
          <w:sz w:val="24"/>
          <w:szCs w:val="24"/>
        </w:rPr>
        <w:t>-</w:t>
      </w:r>
      <w:r w:rsidR="00177949">
        <w:rPr>
          <w:rFonts w:ascii="Times New Roman" w:hAnsi="Times New Roman" w:cs="Times New Roman"/>
          <w:sz w:val="24"/>
          <w:szCs w:val="24"/>
        </w:rPr>
        <w:t>0</w:t>
      </w:r>
      <w:r w:rsidR="00990EC5">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185869">
        <w:rPr>
          <w:rFonts w:ascii="Times New Roman" w:hAnsi="Times New Roman" w:cs="Times New Roman"/>
          <w:sz w:val="24"/>
          <w:szCs w:val="24"/>
        </w:rPr>
        <w:t>7961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495A577" w:rsidR="0086417F" w:rsidRPr="00990EC5"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85869" w:rsidRPr="00185869">
        <w:rPr>
          <w:b w:val="0"/>
          <w:bCs w:val="0"/>
          <w:spacing w:val="1"/>
          <w:sz w:val="24"/>
          <w:szCs w:val="24"/>
        </w:rPr>
        <w:t>Закупівля послуг з монтажу комплексів автоматичної фото- та відеофіксації правопорушень у сфері забезпечення безпеки дорожнього руху «EXPERT-FS», за кодом ДК 021:2015 - 45310000-3 Електромонтажні роботи</w:t>
      </w:r>
    </w:p>
    <w:p w14:paraId="54E62884" w14:textId="77777777" w:rsidR="00185869" w:rsidRPr="009242E0" w:rsidRDefault="00185869" w:rsidP="00185869">
      <w:pPr>
        <w:suppressAutoHyphens/>
        <w:jc w:val="center"/>
        <w:rPr>
          <w:rFonts w:ascii="Times New Roman" w:hAnsi="Times New Roman"/>
          <w:b/>
          <w:bCs/>
          <w:color w:val="000000" w:themeColor="text1"/>
        </w:rPr>
      </w:pPr>
      <w:bookmarkStart w:id="0" w:name="_Hlk204247675"/>
      <w:bookmarkStart w:id="1" w:name="_Hlk157092153"/>
      <w:r w:rsidRPr="009242E0">
        <w:rPr>
          <w:rFonts w:ascii="Times New Roman" w:hAnsi="Times New Roman"/>
          <w:b/>
          <w:bCs/>
          <w:color w:val="000000" w:themeColor="text1"/>
        </w:rPr>
        <w:t xml:space="preserve">ТЕХНІЧНІ ВИМОГИ </w:t>
      </w:r>
    </w:p>
    <w:p w14:paraId="1CAD34CF" w14:textId="77777777" w:rsidR="00185869" w:rsidRPr="009242E0" w:rsidRDefault="00185869" w:rsidP="00185869">
      <w:pPr>
        <w:suppressAutoHyphens/>
        <w:jc w:val="center"/>
        <w:rPr>
          <w:rFonts w:ascii="Times New Roman" w:hAnsi="Times New Roman"/>
          <w:color w:val="000000" w:themeColor="text1"/>
          <w:bdr w:val="none" w:sz="0" w:space="0" w:color="auto" w:frame="1"/>
          <w:shd w:val="clear" w:color="auto" w:fill="FFFFFF"/>
        </w:rPr>
      </w:pPr>
      <w:r w:rsidRPr="009242E0">
        <w:rPr>
          <w:rFonts w:ascii="Times New Roman" w:hAnsi="Times New Roman"/>
          <w:b/>
          <w:bCs/>
          <w:color w:val="000000" w:themeColor="text1"/>
        </w:rPr>
        <w:t>(ТЕХНІЧНЕ ЗАВДАННЯ)</w:t>
      </w:r>
      <w:bookmarkEnd w:id="0"/>
    </w:p>
    <w:p w14:paraId="3BCFAF68" w14:textId="77777777" w:rsidR="00185869" w:rsidRPr="009242E0" w:rsidRDefault="00185869" w:rsidP="00185869">
      <w:pPr>
        <w:suppressAutoHyphens/>
        <w:jc w:val="center"/>
        <w:rPr>
          <w:rFonts w:ascii="Times New Roman" w:hAnsi="Times New Roman"/>
          <w:color w:val="000000" w:themeColor="text1"/>
          <w:bdr w:val="none" w:sz="0" w:space="0" w:color="auto" w:frame="1"/>
          <w:shd w:val="clear" w:color="auto" w:fill="FFFFFF"/>
        </w:rPr>
      </w:pPr>
    </w:p>
    <w:bookmarkEnd w:id="1"/>
    <w:p w14:paraId="29890A31" w14:textId="77777777" w:rsidR="00185869" w:rsidRPr="009242E0" w:rsidRDefault="00185869" w:rsidP="00185869">
      <w:pPr>
        <w:suppressAutoHyphens/>
        <w:jc w:val="center"/>
        <w:rPr>
          <w:rFonts w:ascii="Times New Roman" w:hAnsi="Times New Roman"/>
          <w:b/>
          <w:bCs/>
          <w:color w:val="000000" w:themeColor="text1"/>
        </w:rPr>
      </w:pPr>
      <w:r w:rsidRPr="009242E0">
        <w:rPr>
          <w:rFonts w:ascii="Times New Roman" w:hAnsi="Times New Roman"/>
          <w:b/>
          <w:bCs/>
          <w:spacing w:val="1"/>
        </w:rPr>
        <w:t>Закупівля послуг з монтажу комплексів автоматичної фото- та відеофіксації правопорушень у сфері забезпечення безпеки дорожнього руху «EXPERT-FS», за кодом ДК 021:2015 - 45310000-3 Електромонтажні роботи</w:t>
      </w:r>
    </w:p>
    <w:p w14:paraId="0958B260" w14:textId="77777777" w:rsidR="00185869" w:rsidRPr="009242E0" w:rsidRDefault="00185869" w:rsidP="00185869">
      <w:pPr>
        <w:suppressAutoHyphens/>
        <w:spacing w:line="235" w:lineRule="auto"/>
        <w:ind w:firstLine="567"/>
        <w:jc w:val="both"/>
        <w:rPr>
          <w:rFonts w:ascii="Times New Roman" w:hAnsi="Times New Roman"/>
          <w:b/>
          <w:i/>
          <w:color w:val="000000"/>
        </w:rPr>
      </w:pPr>
    </w:p>
    <w:tbl>
      <w:tblPr>
        <w:tblStyle w:val="51"/>
        <w:tblW w:w="9634" w:type="dxa"/>
        <w:tblLayout w:type="fixed"/>
        <w:tblLook w:val="04A0" w:firstRow="1" w:lastRow="0" w:firstColumn="1" w:lastColumn="0" w:noHBand="0" w:noVBand="1"/>
      </w:tblPr>
      <w:tblGrid>
        <w:gridCol w:w="560"/>
        <w:gridCol w:w="5673"/>
        <w:gridCol w:w="1700"/>
        <w:gridCol w:w="1701"/>
      </w:tblGrid>
      <w:tr w:rsidR="00185869" w:rsidRPr="009242E0" w14:paraId="2C204960" w14:textId="77777777" w:rsidTr="001D4792">
        <w:trPr>
          <w:trHeight w:val="652"/>
        </w:trPr>
        <w:tc>
          <w:tcPr>
            <w:tcW w:w="560" w:type="dxa"/>
            <w:vAlign w:val="center"/>
          </w:tcPr>
          <w:p w14:paraId="2ABFC5AC" w14:textId="77777777" w:rsidR="00185869" w:rsidRPr="009242E0" w:rsidRDefault="00185869" w:rsidP="001D4792">
            <w:pPr>
              <w:tabs>
                <w:tab w:val="center" w:pos="4819"/>
                <w:tab w:val="right" w:pos="9639"/>
              </w:tabs>
              <w:jc w:val="center"/>
              <w:rPr>
                <w:rFonts w:ascii="Times New Roman" w:hAnsi="Times New Roman"/>
                <w:b/>
                <w:bCs/>
                <w:color w:val="000000" w:themeColor="text1"/>
              </w:rPr>
            </w:pPr>
            <w:r w:rsidRPr="009242E0">
              <w:rPr>
                <w:rFonts w:ascii="Times New Roman" w:hAnsi="Times New Roman"/>
                <w:b/>
                <w:bCs/>
                <w:color w:val="000000" w:themeColor="text1"/>
              </w:rPr>
              <w:t>№ з/п</w:t>
            </w:r>
          </w:p>
        </w:tc>
        <w:tc>
          <w:tcPr>
            <w:tcW w:w="5672" w:type="dxa"/>
            <w:vAlign w:val="center"/>
          </w:tcPr>
          <w:p w14:paraId="1A0F2530" w14:textId="77777777" w:rsidR="00185869" w:rsidRPr="009242E0" w:rsidRDefault="00185869" w:rsidP="001D4792">
            <w:pPr>
              <w:tabs>
                <w:tab w:val="center" w:pos="4819"/>
                <w:tab w:val="right" w:pos="9639"/>
              </w:tabs>
              <w:jc w:val="center"/>
              <w:rPr>
                <w:rFonts w:ascii="Times New Roman" w:hAnsi="Times New Roman"/>
                <w:b/>
                <w:bCs/>
                <w:color w:val="000000" w:themeColor="text1"/>
              </w:rPr>
            </w:pPr>
            <w:r w:rsidRPr="009242E0">
              <w:rPr>
                <w:rFonts w:ascii="Times New Roman" w:hAnsi="Times New Roman"/>
                <w:b/>
                <w:bCs/>
                <w:color w:val="000000" w:themeColor="text1"/>
              </w:rPr>
              <w:t>Назва послуг</w:t>
            </w:r>
          </w:p>
        </w:tc>
        <w:tc>
          <w:tcPr>
            <w:tcW w:w="1700" w:type="dxa"/>
            <w:vAlign w:val="center"/>
          </w:tcPr>
          <w:p w14:paraId="521263C6" w14:textId="77777777" w:rsidR="00185869" w:rsidRPr="009242E0" w:rsidRDefault="00185869" w:rsidP="001D4792">
            <w:pPr>
              <w:tabs>
                <w:tab w:val="center" w:pos="4819"/>
                <w:tab w:val="right" w:pos="9639"/>
              </w:tabs>
              <w:jc w:val="center"/>
              <w:rPr>
                <w:rFonts w:ascii="Times New Roman" w:hAnsi="Times New Roman"/>
                <w:b/>
                <w:bCs/>
                <w:color w:val="000000" w:themeColor="text1"/>
              </w:rPr>
            </w:pPr>
            <w:r w:rsidRPr="009242E0">
              <w:rPr>
                <w:rFonts w:ascii="Times New Roman" w:hAnsi="Times New Roman"/>
                <w:b/>
                <w:bCs/>
                <w:color w:val="000000" w:themeColor="text1"/>
              </w:rPr>
              <w:t>Одиниця виміру</w:t>
            </w:r>
          </w:p>
        </w:tc>
        <w:tc>
          <w:tcPr>
            <w:tcW w:w="1701" w:type="dxa"/>
            <w:vAlign w:val="center"/>
          </w:tcPr>
          <w:p w14:paraId="268A8BC2" w14:textId="77777777" w:rsidR="00185869" w:rsidRPr="009242E0" w:rsidRDefault="00185869" w:rsidP="001D4792">
            <w:pPr>
              <w:tabs>
                <w:tab w:val="center" w:pos="4819"/>
                <w:tab w:val="right" w:pos="9639"/>
              </w:tabs>
              <w:jc w:val="center"/>
              <w:rPr>
                <w:rFonts w:ascii="Times New Roman" w:hAnsi="Times New Roman"/>
                <w:b/>
                <w:bCs/>
                <w:color w:val="000000" w:themeColor="text1"/>
              </w:rPr>
            </w:pPr>
            <w:r w:rsidRPr="009242E0">
              <w:rPr>
                <w:rFonts w:ascii="Times New Roman" w:hAnsi="Times New Roman"/>
                <w:b/>
                <w:bCs/>
                <w:color w:val="000000" w:themeColor="text1"/>
              </w:rPr>
              <w:t>Кількість</w:t>
            </w:r>
          </w:p>
        </w:tc>
      </w:tr>
      <w:tr w:rsidR="00185869" w:rsidRPr="009242E0" w14:paraId="6B4B4652" w14:textId="77777777" w:rsidTr="001D4792">
        <w:tc>
          <w:tcPr>
            <w:tcW w:w="560" w:type="dxa"/>
            <w:vAlign w:val="center"/>
          </w:tcPr>
          <w:p w14:paraId="6DABAEAE" w14:textId="77777777" w:rsidR="00185869" w:rsidRPr="009242E0" w:rsidRDefault="00185869" w:rsidP="001D4792">
            <w:pPr>
              <w:tabs>
                <w:tab w:val="center" w:pos="4819"/>
                <w:tab w:val="right" w:pos="9639"/>
              </w:tabs>
              <w:jc w:val="center"/>
              <w:rPr>
                <w:rFonts w:ascii="Times New Roman" w:hAnsi="Times New Roman"/>
                <w:color w:val="000000" w:themeColor="text1"/>
              </w:rPr>
            </w:pPr>
            <w:r w:rsidRPr="009242E0">
              <w:rPr>
                <w:rFonts w:ascii="Times New Roman" w:hAnsi="Times New Roman"/>
                <w:color w:val="000000" w:themeColor="text1"/>
              </w:rPr>
              <w:t>1</w:t>
            </w:r>
          </w:p>
        </w:tc>
        <w:tc>
          <w:tcPr>
            <w:tcW w:w="5672" w:type="dxa"/>
            <w:vAlign w:val="center"/>
          </w:tcPr>
          <w:p w14:paraId="6E593C00" w14:textId="77777777" w:rsidR="00185869" w:rsidRPr="009242E0" w:rsidRDefault="00185869" w:rsidP="001D4792">
            <w:pPr>
              <w:rPr>
                <w:rFonts w:ascii="Times New Roman" w:hAnsi="Times New Roman"/>
                <w:color w:val="000000" w:themeColor="text1"/>
              </w:rPr>
            </w:pPr>
            <w:r w:rsidRPr="009242E0">
              <w:rPr>
                <w:rFonts w:ascii="Times New Roman" w:eastAsia="Cambria" w:hAnsi="Times New Roman"/>
              </w:rPr>
              <w:t>Монтаж комплексів автоматичної фото- та відеофіксації правопорушень у сфері забезпечення безпеки дорожнього руху «EXPERT-FS»</w:t>
            </w:r>
          </w:p>
        </w:tc>
        <w:tc>
          <w:tcPr>
            <w:tcW w:w="1700" w:type="dxa"/>
            <w:vAlign w:val="center"/>
          </w:tcPr>
          <w:p w14:paraId="705FB054" w14:textId="77777777" w:rsidR="00185869" w:rsidRPr="009242E0" w:rsidRDefault="00185869" w:rsidP="001D4792">
            <w:pPr>
              <w:tabs>
                <w:tab w:val="center" w:pos="4819"/>
                <w:tab w:val="right" w:pos="9639"/>
              </w:tabs>
              <w:jc w:val="center"/>
              <w:rPr>
                <w:rFonts w:ascii="Times New Roman" w:hAnsi="Times New Roman"/>
                <w:color w:val="000000" w:themeColor="text1"/>
              </w:rPr>
            </w:pPr>
            <w:r w:rsidRPr="009242E0">
              <w:rPr>
                <w:rFonts w:ascii="Times New Roman" w:hAnsi="Times New Roman"/>
                <w:color w:val="000000" w:themeColor="text1"/>
              </w:rPr>
              <w:t>послуга</w:t>
            </w:r>
          </w:p>
        </w:tc>
        <w:tc>
          <w:tcPr>
            <w:tcW w:w="1701" w:type="dxa"/>
            <w:vAlign w:val="center"/>
          </w:tcPr>
          <w:p w14:paraId="21FC68C0" w14:textId="77777777" w:rsidR="00185869" w:rsidRPr="009242E0" w:rsidRDefault="00185869" w:rsidP="001D4792">
            <w:pPr>
              <w:tabs>
                <w:tab w:val="center" w:pos="4819"/>
                <w:tab w:val="right" w:pos="9639"/>
              </w:tabs>
              <w:jc w:val="center"/>
              <w:rPr>
                <w:rFonts w:ascii="Times New Roman" w:hAnsi="Times New Roman"/>
                <w:color w:val="000000" w:themeColor="text1"/>
              </w:rPr>
            </w:pPr>
            <w:r w:rsidRPr="009242E0">
              <w:rPr>
                <w:rFonts w:ascii="Times New Roman" w:hAnsi="Times New Roman"/>
                <w:color w:val="000000" w:themeColor="text1"/>
              </w:rPr>
              <w:t>61</w:t>
            </w:r>
          </w:p>
        </w:tc>
      </w:tr>
    </w:tbl>
    <w:p w14:paraId="41D596F3" w14:textId="77777777" w:rsidR="00185869" w:rsidRPr="009242E0" w:rsidRDefault="00185869" w:rsidP="00185869">
      <w:pPr>
        <w:suppressAutoHyphens/>
        <w:spacing w:line="235" w:lineRule="auto"/>
        <w:ind w:firstLine="567"/>
        <w:jc w:val="both"/>
        <w:rPr>
          <w:rFonts w:ascii="Times New Roman" w:hAnsi="Times New Roman"/>
          <w:b/>
          <w:i/>
          <w:color w:val="000000"/>
        </w:rPr>
      </w:pPr>
    </w:p>
    <w:p w14:paraId="3A0CB621" w14:textId="77777777" w:rsidR="00185869" w:rsidRPr="009242E0" w:rsidRDefault="00185869" w:rsidP="00185869">
      <w:pPr>
        <w:suppressAutoHyphens/>
        <w:jc w:val="center"/>
        <w:rPr>
          <w:rFonts w:ascii="Times New Roman" w:hAnsi="Times New Roman"/>
          <w:b/>
          <w:bCs/>
          <w:color w:val="000000" w:themeColor="text1"/>
        </w:rPr>
      </w:pPr>
      <w:r w:rsidRPr="009242E0">
        <w:rPr>
          <w:rFonts w:ascii="Times New Roman" w:hAnsi="Times New Roman"/>
          <w:b/>
          <w:bCs/>
          <w:color w:val="000000" w:themeColor="text1"/>
        </w:rPr>
        <w:t>Вимоги до якості послуг:</w:t>
      </w:r>
    </w:p>
    <w:p w14:paraId="14B3DF44" w14:textId="77777777" w:rsidR="00185869" w:rsidRPr="009242E0" w:rsidRDefault="00185869" w:rsidP="00185869">
      <w:pPr>
        <w:suppressAutoHyphens/>
        <w:rPr>
          <w:rFonts w:ascii="Times New Roman" w:hAnsi="Times New Roman"/>
          <w:color w:val="000000" w:themeColor="text1"/>
        </w:rPr>
      </w:pPr>
    </w:p>
    <w:p w14:paraId="5388EDEC" w14:textId="77777777" w:rsidR="00185869" w:rsidRPr="009242E0" w:rsidRDefault="00185869" w:rsidP="00185869">
      <w:pPr>
        <w:suppressAutoHyphens/>
        <w:spacing w:line="235" w:lineRule="auto"/>
        <w:ind w:firstLine="567"/>
        <w:jc w:val="both"/>
        <w:rPr>
          <w:rFonts w:ascii="Times New Roman" w:hAnsi="Times New Roman"/>
          <w:b/>
          <w:i/>
          <w:color w:val="000000"/>
        </w:rPr>
      </w:pPr>
      <w:r w:rsidRPr="009242E0">
        <w:rPr>
          <w:rFonts w:ascii="Times New Roman" w:hAnsi="Times New Roman"/>
          <w:b/>
          <w:i/>
          <w:color w:val="000000"/>
        </w:rPr>
        <w:t>Загальна інформація.</w:t>
      </w:r>
    </w:p>
    <w:p w14:paraId="471C55BE" w14:textId="77777777" w:rsidR="00185869" w:rsidRPr="009242E0" w:rsidRDefault="00185869" w:rsidP="00185869">
      <w:pPr>
        <w:suppressAutoHyphens/>
        <w:spacing w:line="235" w:lineRule="auto"/>
        <w:rPr>
          <w:rFonts w:ascii="Times New Roman" w:hAnsi="Times New Roman"/>
          <w:b/>
          <w:i/>
          <w:color w:val="000000"/>
        </w:rPr>
      </w:pPr>
    </w:p>
    <w:p w14:paraId="25124027" w14:textId="77777777" w:rsidR="00185869" w:rsidRPr="009242E0" w:rsidRDefault="00185869" w:rsidP="00185869">
      <w:pPr>
        <w:suppressAutoHyphens/>
        <w:ind w:firstLine="567"/>
        <w:jc w:val="both"/>
        <w:rPr>
          <w:rFonts w:ascii="Times New Roman" w:hAnsi="Times New Roman"/>
          <w:color w:val="000000"/>
        </w:rPr>
      </w:pPr>
      <w:r w:rsidRPr="009242E0">
        <w:rPr>
          <w:rFonts w:ascii="Times New Roman" w:hAnsi="Times New Roman"/>
          <w:color w:val="000000"/>
        </w:rPr>
        <w:t>Послуга передбачає виконання монтажних та інших робіт, необхідних для підготовки та введення в експлуатацію 61 комплексу автоматичної фіксації порушень Правил дорожнього руху «EXPERT-FS» (далі – комплекси) в 2026 році.</w:t>
      </w:r>
    </w:p>
    <w:p w14:paraId="4833E1BF"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Конструкція, принцип роботи та інша інформація про комплекс наведена в паспорті, що додається.</w:t>
      </w:r>
    </w:p>
    <w:p w14:paraId="09684477"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lastRenderedPageBreak/>
        <w:t>Вимоги до монтажу, методика налаштування комплексу викладені в настанові користувача, що додається.</w:t>
      </w:r>
    </w:p>
    <w:p w14:paraId="0017482D"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Монтажні роботи здійснюються в 5 етапів.</w:t>
      </w:r>
    </w:p>
    <w:p w14:paraId="183889A4" w14:textId="77777777" w:rsidR="00185869" w:rsidRPr="009242E0" w:rsidRDefault="00185869" w:rsidP="00185869">
      <w:pPr>
        <w:tabs>
          <w:tab w:val="left" w:pos="7382"/>
        </w:tabs>
        <w:suppressAutoHyphens/>
        <w:jc w:val="both"/>
        <w:rPr>
          <w:rFonts w:ascii="Times New Roman" w:hAnsi="Times New Roman"/>
          <w:color w:val="000000"/>
        </w:rPr>
      </w:pPr>
      <w:r w:rsidRPr="009242E0">
        <w:rPr>
          <w:rFonts w:ascii="Times New Roman" w:hAnsi="Times New Roman"/>
          <w:color w:val="000000"/>
        </w:rPr>
        <w:t>Замовник має право залучити незалежну експертизу для перевірки якості виконаних робіт.</w:t>
      </w:r>
    </w:p>
    <w:p w14:paraId="4C052142" w14:textId="77777777" w:rsidR="00185869" w:rsidRPr="009242E0" w:rsidRDefault="00185869" w:rsidP="00185869">
      <w:pPr>
        <w:tabs>
          <w:tab w:val="left" w:pos="7382"/>
        </w:tabs>
        <w:suppressAutoHyphens/>
        <w:jc w:val="both"/>
        <w:rPr>
          <w:rFonts w:ascii="Times New Roman" w:hAnsi="Times New Roman"/>
          <w:color w:val="000000"/>
        </w:rPr>
      </w:pPr>
    </w:p>
    <w:p w14:paraId="7BD9CFD0" w14:textId="77777777" w:rsidR="00185869" w:rsidRPr="009242E0" w:rsidRDefault="00185869" w:rsidP="00185869">
      <w:pPr>
        <w:tabs>
          <w:tab w:val="left" w:pos="7382"/>
        </w:tabs>
        <w:suppressAutoHyphens/>
        <w:ind w:firstLine="567"/>
        <w:rPr>
          <w:rFonts w:ascii="Times New Roman" w:hAnsi="Times New Roman"/>
          <w:b/>
          <w:bCs/>
          <w:color w:val="000000"/>
        </w:rPr>
      </w:pPr>
      <w:r w:rsidRPr="009242E0">
        <w:rPr>
          <w:rFonts w:ascii="Times New Roman" w:hAnsi="Times New Roman"/>
          <w:b/>
          <w:bCs/>
          <w:color w:val="000000"/>
        </w:rPr>
        <w:t>Етапи виконання робіт:</w:t>
      </w:r>
    </w:p>
    <w:p w14:paraId="6E064955" w14:textId="77777777" w:rsidR="00185869" w:rsidRPr="009242E0" w:rsidRDefault="00185869" w:rsidP="00185869">
      <w:pPr>
        <w:tabs>
          <w:tab w:val="left" w:pos="7382"/>
        </w:tabs>
        <w:suppressAutoHyphens/>
        <w:rPr>
          <w:rFonts w:ascii="Times New Roman" w:hAnsi="Times New Roman"/>
          <w:b/>
          <w:bCs/>
          <w:i/>
          <w:iCs/>
          <w:color w:val="000000"/>
        </w:rPr>
      </w:pPr>
      <w:r w:rsidRPr="009242E0">
        <w:rPr>
          <w:rFonts w:ascii="Times New Roman" w:hAnsi="Times New Roman"/>
          <w:b/>
          <w:bCs/>
          <w:i/>
          <w:iCs/>
          <w:color w:val="000000"/>
        </w:rPr>
        <w:t>1 етап. Обстеження аварійно-небезпечних ділянок.</w:t>
      </w:r>
    </w:p>
    <w:p w14:paraId="02383BF1"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Представник монтажної організації (виконавець) бере участь у робочій групі з обстеження 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42603BFB" w14:textId="77777777" w:rsidR="00185869" w:rsidRPr="009242E0" w:rsidRDefault="00185869" w:rsidP="00185869">
      <w:pPr>
        <w:tabs>
          <w:tab w:val="left" w:pos="7382"/>
        </w:tabs>
        <w:suppressAutoHyphens/>
        <w:rPr>
          <w:rFonts w:ascii="Times New Roman" w:hAnsi="Times New Roman"/>
          <w:b/>
          <w:bCs/>
          <w:color w:val="000000"/>
        </w:rPr>
      </w:pPr>
    </w:p>
    <w:p w14:paraId="00E9E534" w14:textId="77777777" w:rsidR="00185869" w:rsidRPr="009242E0" w:rsidRDefault="00185869" w:rsidP="00185869">
      <w:pPr>
        <w:tabs>
          <w:tab w:val="left" w:pos="7382"/>
        </w:tabs>
        <w:suppressAutoHyphens/>
        <w:jc w:val="both"/>
        <w:rPr>
          <w:rFonts w:ascii="Times New Roman" w:hAnsi="Times New Roman"/>
          <w:b/>
          <w:bCs/>
          <w:i/>
          <w:iCs/>
          <w:color w:val="000000"/>
        </w:rPr>
      </w:pPr>
      <w:r w:rsidRPr="009242E0">
        <w:rPr>
          <w:rFonts w:ascii="Times New Roman" w:hAnsi="Times New Roman"/>
          <w:b/>
          <w:bCs/>
          <w:i/>
          <w:iCs/>
          <w:color w:val="000000"/>
        </w:rPr>
        <w:t>2 етап. Встановлення, налаштування та тестування комплексів.</w:t>
      </w:r>
    </w:p>
    <w:p w14:paraId="280ABE47"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3F328116"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Перед здійсненням монтажних робіт виконавець повинен надати замовнику технічне рішення розроблене кваліфікованим інженером-проектувальником, яке має включати:</w:t>
      </w:r>
    </w:p>
    <w:p w14:paraId="0F8EFF6D" w14:textId="77777777" w:rsidR="00185869" w:rsidRPr="009242E0" w:rsidRDefault="00185869" w:rsidP="00185869">
      <w:pPr>
        <w:numPr>
          <w:ilvl w:val="0"/>
          <w:numId w:val="37"/>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загальну пояснювальну записку;</w:t>
      </w:r>
    </w:p>
    <w:p w14:paraId="7BE9ACE5" w14:textId="77777777" w:rsidR="00185869" w:rsidRPr="009242E0" w:rsidRDefault="00185869" w:rsidP="00185869">
      <w:pPr>
        <w:numPr>
          <w:ilvl w:val="0"/>
          <w:numId w:val="37"/>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розміщення обладнання комплексу в зонах контролю з підключення до відповідних зовнішніх інженерних мереж;</w:t>
      </w:r>
    </w:p>
    <w:p w14:paraId="4E9AC527" w14:textId="77777777" w:rsidR="00185869" w:rsidRPr="009242E0" w:rsidRDefault="00185869" w:rsidP="00185869">
      <w:pPr>
        <w:numPr>
          <w:ilvl w:val="0"/>
          <w:numId w:val="37"/>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специфікації обладнання комплексу, виробів і матеріалів комплексу;</w:t>
      </w:r>
    </w:p>
    <w:p w14:paraId="228A3BAB" w14:textId="77777777" w:rsidR="00185869" w:rsidRPr="009242E0" w:rsidRDefault="00185869" w:rsidP="00185869">
      <w:pPr>
        <w:numPr>
          <w:ilvl w:val="0"/>
          <w:numId w:val="37"/>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траси прокладання кабельних ліній на опорі для підключення комплексу;</w:t>
      </w:r>
    </w:p>
    <w:p w14:paraId="2C1FC213" w14:textId="77777777" w:rsidR="00185869" w:rsidRPr="009242E0" w:rsidRDefault="00185869" w:rsidP="00185869">
      <w:pPr>
        <w:numPr>
          <w:ilvl w:val="0"/>
          <w:numId w:val="37"/>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вузли кріплення кабелів для підключення комплексу;</w:t>
      </w:r>
    </w:p>
    <w:p w14:paraId="59651A28" w14:textId="77777777" w:rsidR="00185869" w:rsidRPr="009242E0" w:rsidRDefault="00185869" w:rsidP="00185869">
      <w:pPr>
        <w:numPr>
          <w:ilvl w:val="0"/>
          <w:numId w:val="37"/>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конструкції металеві для розміщення обладнання комплексу;</w:t>
      </w:r>
    </w:p>
    <w:p w14:paraId="16A966C5"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 xml:space="preserve">Замовник здійснює видачу комплексів виконавцю (для подальшого проведення монтажних робіт) за адресою: вул. Волинська, 26, м. Київ. </w:t>
      </w:r>
    </w:p>
    <w:p w14:paraId="7BD85F2A"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w:t>
      </w:r>
    </w:p>
    <w:p w14:paraId="36C7D907"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Монтаж та налаштування комплексів здійснюється виконавцем з дотриманням вимог експлуатаційної документації, відповідно до технічного рішення у місцях визначених етапом 1.</w:t>
      </w:r>
    </w:p>
    <w:p w14:paraId="2BDDA44E"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Виконавець керуючись протоколом взаємодії приладів контролю з програмним забезпеченням системи фіксації адміністративних правопорушень у сфері забезпечення безпеки дорожнього руху в автоматичному режимі (СФАП) у співпраці з провайдером, адміністратором та розробником СФАП, здійснює підключення комплексів до тестового середовища СФАП.</w:t>
      </w:r>
    </w:p>
    <w:p w14:paraId="70F5181A"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 xml:space="preserve">За використання стільникового зв’язку виконавець отримує повний доступ до локальної мережі (VPN), доступ до компонентів та налаштувань комплексу. </w:t>
      </w:r>
    </w:p>
    <w:p w14:paraId="05AAA080"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7DDBF622"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Після виконання монтажних робіт з встановлення комплексу, підключення його до тестового середовища, виконавець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(див. 5 етап), який був встановлений на постійній локації, яку було визначено на етапі 1.</w:t>
      </w:r>
    </w:p>
    <w:p w14:paraId="7A7E79EC"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lastRenderedPageBreak/>
        <w:t>Замовник проводить тестування комплексу, у разі виникнення зауважень чи побажань, виконавець має змінити налаштування комплексу.</w:t>
      </w:r>
    </w:p>
    <w:p w14:paraId="61185170"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7CF91584" w14:textId="77777777" w:rsidR="00185869" w:rsidRPr="009242E0" w:rsidRDefault="00185869" w:rsidP="00185869">
      <w:pPr>
        <w:tabs>
          <w:tab w:val="left" w:pos="7382"/>
        </w:tabs>
        <w:suppressAutoHyphens/>
        <w:ind w:firstLine="567"/>
        <w:jc w:val="both"/>
        <w:rPr>
          <w:rFonts w:ascii="Times New Roman" w:hAnsi="Times New Roman"/>
          <w:color w:val="000000"/>
        </w:rPr>
      </w:pPr>
    </w:p>
    <w:p w14:paraId="7ABB755E" w14:textId="77777777" w:rsidR="00185869" w:rsidRPr="009242E0" w:rsidRDefault="00185869" w:rsidP="00185869">
      <w:pPr>
        <w:tabs>
          <w:tab w:val="left" w:pos="7382"/>
        </w:tabs>
        <w:suppressAutoHyphens/>
        <w:jc w:val="both"/>
        <w:rPr>
          <w:rFonts w:ascii="Times New Roman" w:hAnsi="Times New Roman"/>
          <w:i/>
          <w:iCs/>
          <w:color w:val="000000"/>
        </w:rPr>
      </w:pPr>
      <w:r w:rsidRPr="009242E0">
        <w:rPr>
          <w:rFonts w:ascii="Times New Roman" w:hAnsi="Times New Roman"/>
          <w:b/>
          <w:bCs/>
          <w:i/>
          <w:iCs/>
          <w:color w:val="000000"/>
        </w:rPr>
        <w:t>3 етап. Здійснення метрологічної повірки та підготовка супровідної документації для активації комплексів</w:t>
      </w:r>
      <w:r w:rsidRPr="009242E0">
        <w:rPr>
          <w:rFonts w:ascii="Times New Roman" w:hAnsi="Times New Roman"/>
          <w:i/>
          <w:iCs/>
          <w:color w:val="000000"/>
        </w:rPr>
        <w:t>.</w:t>
      </w:r>
    </w:p>
    <w:p w14:paraId="04928047"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оцінки оформлюється сертифікат відповідності або свідоцтво про повірку, які надаються замовнику.</w:t>
      </w:r>
    </w:p>
    <w:p w14:paraId="034FD147"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Виконавець подає заявку до метрологічного центру для здійснення оцінки відповідності (Модуль F) не пізніше ніж через 3 дні після завершення тестування комплексу.</w:t>
      </w:r>
    </w:p>
    <w:p w14:paraId="281C4E16" w14:textId="77777777" w:rsidR="00185869" w:rsidRPr="009242E0" w:rsidRDefault="00185869" w:rsidP="00185869">
      <w:pPr>
        <w:tabs>
          <w:tab w:val="left" w:pos="7382"/>
        </w:tabs>
        <w:suppressAutoHyphens/>
        <w:ind w:firstLine="567"/>
        <w:jc w:val="both"/>
        <w:rPr>
          <w:rFonts w:ascii="Times New Roman" w:hAnsi="Times New Roman"/>
          <w:color w:val="000000"/>
        </w:rPr>
      </w:pPr>
      <w:r w:rsidRPr="009242E0">
        <w:rPr>
          <w:rFonts w:ascii="Times New Roman" w:hAnsi="Times New Roman"/>
          <w:color w:val="000000"/>
        </w:rPr>
        <w:t>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60EC6BCC" w14:textId="77777777" w:rsidR="00185869" w:rsidRPr="009242E0" w:rsidRDefault="00185869" w:rsidP="00185869">
      <w:pPr>
        <w:tabs>
          <w:tab w:val="left" w:pos="7382"/>
        </w:tabs>
        <w:suppressAutoHyphens/>
        <w:jc w:val="both"/>
        <w:rPr>
          <w:rFonts w:ascii="Times New Roman" w:hAnsi="Times New Roman"/>
          <w:b/>
          <w:bCs/>
          <w:color w:val="000000"/>
        </w:rPr>
      </w:pPr>
    </w:p>
    <w:p w14:paraId="68F05EBA" w14:textId="77777777" w:rsidR="00185869" w:rsidRPr="009242E0" w:rsidRDefault="00185869" w:rsidP="00185869">
      <w:pPr>
        <w:tabs>
          <w:tab w:val="left" w:pos="7382"/>
        </w:tabs>
        <w:suppressAutoHyphens/>
        <w:jc w:val="both"/>
        <w:rPr>
          <w:rFonts w:ascii="Times New Roman" w:hAnsi="Times New Roman"/>
          <w:b/>
          <w:bCs/>
          <w:i/>
          <w:iCs/>
          <w:color w:val="000000"/>
        </w:rPr>
      </w:pPr>
      <w:r w:rsidRPr="009242E0">
        <w:rPr>
          <w:rFonts w:ascii="Times New Roman" w:hAnsi="Times New Roman"/>
          <w:b/>
          <w:bCs/>
          <w:i/>
          <w:iCs/>
          <w:color w:val="000000"/>
        </w:rPr>
        <w:t>4 етап. Порядок приймання послуг.</w:t>
      </w:r>
    </w:p>
    <w:p w14:paraId="686EFBCE" w14:textId="77777777" w:rsidR="00185869" w:rsidRPr="009242E0" w:rsidRDefault="00185869" w:rsidP="00185869">
      <w:pPr>
        <w:tabs>
          <w:tab w:val="left" w:pos="7382"/>
        </w:tabs>
        <w:suppressAutoHyphens/>
        <w:jc w:val="both"/>
        <w:rPr>
          <w:rFonts w:ascii="Times New Roman" w:hAnsi="Times New Roman"/>
          <w:color w:val="000000"/>
        </w:rPr>
      </w:pPr>
      <w:r w:rsidRPr="009242E0">
        <w:rPr>
          <w:rFonts w:ascii="Times New Roman" w:hAnsi="Times New Roman"/>
          <w:color w:val="000000"/>
        </w:rPr>
        <w:t>За результатом виконання робіт, виконавець надає замовнику:</w:t>
      </w:r>
    </w:p>
    <w:p w14:paraId="04BEFFCE" w14:textId="77777777" w:rsidR="00185869" w:rsidRPr="009242E0" w:rsidRDefault="00185869" w:rsidP="00185869">
      <w:pPr>
        <w:numPr>
          <w:ilvl w:val="0"/>
          <w:numId w:val="38"/>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технічне рішення;</w:t>
      </w:r>
    </w:p>
    <w:p w14:paraId="2E683FE1" w14:textId="77777777" w:rsidR="00185869" w:rsidRPr="009242E0" w:rsidRDefault="00185869" w:rsidP="00185869">
      <w:pPr>
        <w:numPr>
          <w:ilvl w:val="0"/>
          <w:numId w:val="38"/>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сертифікат відповідності або свідоцтво про повірку;</w:t>
      </w:r>
    </w:p>
    <w:p w14:paraId="70675D7F" w14:textId="77777777" w:rsidR="00185869" w:rsidRPr="009242E0" w:rsidRDefault="00185869" w:rsidP="00185869">
      <w:pPr>
        <w:numPr>
          <w:ilvl w:val="0"/>
          <w:numId w:val="38"/>
        </w:numPr>
        <w:tabs>
          <w:tab w:val="left" w:pos="7382"/>
        </w:tabs>
        <w:suppressAutoHyphens/>
        <w:spacing w:after="0" w:line="240" w:lineRule="auto"/>
        <w:jc w:val="both"/>
        <w:rPr>
          <w:rFonts w:ascii="Times New Roman" w:hAnsi="Times New Roman"/>
          <w:color w:val="000000"/>
        </w:rPr>
      </w:pPr>
      <w:r w:rsidRPr="009242E0">
        <w:rPr>
          <w:rFonts w:ascii="Times New Roman" w:hAnsi="Times New Roman"/>
          <w:color w:val="000000"/>
        </w:rPr>
        <w:t>акт наданих послуг.</w:t>
      </w:r>
    </w:p>
    <w:p w14:paraId="487ACB45" w14:textId="77777777" w:rsidR="00185869" w:rsidRPr="009242E0" w:rsidRDefault="00185869" w:rsidP="00185869">
      <w:pPr>
        <w:tabs>
          <w:tab w:val="left" w:pos="7382"/>
        </w:tabs>
        <w:suppressAutoHyphens/>
        <w:jc w:val="both"/>
        <w:rPr>
          <w:rFonts w:ascii="Times New Roman" w:hAnsi="Times New Roman"/>
          <w:b/>
          <w:bCs/>
          <w:color w:val="000000"/>
        </w:rPr>
      </w:pPr>
    </w:p>
    <w:p w14:paraId="29D4F2E7" w14:textId="77777777" w:rsidR="00185869" w:rsidRPr="009242E0" w:rsidRDefault="00185869" w:rsidP="00185869">
      <w:pPr>
        <w:tabs>
          <w:tab w:val="left" w:pos="7382"/>
        </w:tabs>
        <w:suppressAutoHyphens/>
        <w:jc w:val="both"/>
        <w:rPr>
          <w:rFonts w:ascii="Times New Roman" w:hAnsi="Times New Roman"/>
          <w:b/>
          <w:bCs/>
          <w:i/>
          <w:iCs/>
          <w:color w:val="000000"/>
        </w:rPr>
      </w:pPr>
      <w:r w:rsidRPr="009242E0">
        <w:rPr>
          <w:rFonts w:ascii="Times New Roman" w:hAnsi="Times New Roman"/>
          <w:b/>
          <w:bCs/>
          <w:i/>
          <w:iCs/>
          <w:color w:val="000000"/>
        </w:rPr>
        <w:t>5 етап. Усунення збоїв у роботі комплексу.</w:t>
      </w:r>
    </w:p>
    <w:p w14:paraId="697763C7" w14:textId="77777777" w:rsidR="00185869" w:rsidRPr="009242E0" w:rsidRDefault="00185869" w:rsidP="00185869">
      <w:pPr>
        <w:tabs>
          <w:tab w:val="left" w:pos="7382"/>
        </w:tabs>
        <w:suppressAutoHyphens/>
        <w:jc w:val="both"/>
        <w:rPr>
          <w:rFonts w:ascii="Times New Roman" w:hAnsi="Times New Roman"/>
          <w:color w:val="000000"/>
        </w:rPr>
      </w:pPr>
      <w:r w:rsidRPr="009242E0">
        <w:rPr>
          <w:rFonts w:ascii="Times New Roman" w:hAnsi="Times New Roman"/>
          <w:color w:val="000000"/>
        </w:rPr>
        <w:t>У разі виникнення збоїв в роботі комплексу, протягом 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3F56E30B" w14:textId="77777777" w:rsidR="00185869" w:rsidRPr="00AF7E0E" w:rsidRDefault="00185869" w:rsidP="00185869">
      <w:pPr>
        <w:tabs>
          <w:tab w:val="left" w:pos="7382"/>
        </w:tabs>
        <w:suppressAutoHyphens/>
        <w:ind w:right="141" w:firstLine="567"/>
        <w:jc w:val="both"/>
        <w:rPr>
          <w:rFonts w:ascii="Times New Roman" w:hAnsi="Times New Roman"/>
          <w:color w:val="000000"/>
          <w:sz w:val="26"/>
          <w:szCs w:val="26"/>
          <w:lang w:eastAsia="uk-UA"/>
        </w:rPr>
      </w:pPr>
      <w:r w:rsidRPr="00AF7E0E">
        <w:rPr>
          <w:rFonts w:ascii="Times New Roman" w:hAnsi="Times New Roman"/>
          <w:color w:val="000000"/>
          <w:sz w:val="26"/>
          <w:szCs w:val="26"/>
          <w:lang w:eastAsia="uk-UA"/>
        </w:rPr>
        <w:t>Додатки:</w:t>
      </w:r>
    </w:p>
    <w:p w14:paraId="0350FC16" w14:textId="77777777" w:rsidR="00185869" w:rsidRPr="00AF7E0E" w:rsidRDefault="00185869" w:rsidP="00185869">
      <w:pPr>
        <w:tabs>
          <w:tab w:val="left" w:pos="7382"/>
        </w:tabs>
        <w:suppressAutoHyphens/>
        <w:ind w:right="141" w:firstLine="567"/>
        <w:jc w:val="both"/>
        <w:rPr>
          <w:rFonts w:ascii="Times New Roman" w:hAnsi="Times New Roman"/>
          <w:color w:val="000000"/>
          <w:sz w:val="26"/>
          <w:szCs w:val="26"/>
          <w:lang w:eastAsia="uk-UA"/>
        </w:rPr>
      </w:pPr>
      <w:r w:rsidRPr="00AF7E0E">
        <w:rPr>
          <w:rFonts w:ascii="Times New Roman" w:hAnsi="Times New Roman"/>
          <w:color w:val="000000"/>
          <w:sz w:val="26"/>
          <w:szCs w:val="26"/>
          <w:lang w:eastAsia="uk-UA"/>
        </w:rPr>
        <w:t xml:space="preserve">1. </w:t>
      </w:r>
      <w:r>
        <w:rPr>
          <w:rFonts w:ascii="Times New Roman" w:hAnsi="Times New Roman"/>
          <w:color w:val="000000"/>
          <w:sz w:val="26"/>
          <w:szCs w:val="26"/>
          <w:lang w:eastAsia="uk-UA"/>
        </w:rPr>
        <w:t xml:space="preserve">Додаток № 1 - </w:t>
      </w:r>
      <w:r w:rsidRPr="00AF7E0E">
        <w:rPr>
          <w:rFonts w:ascii="Times New Roman" w:hAnsi="Times New Roman"/>
          <w:color w:val="000000"/>
          <w:sz w:val="26"/>
          <w:szCs w:val="26"/>
          <w:lang w:eastAsia="uk-UA"/>
        </w:rPr>
        <w:t>Формуляр.</w:t>
      </w:r>
      <w:r>
        <w:rPr>
          <w:rFonts w:ascii="Times New Roman" w:hAnsi="Times New Roman"/>
          <w:color w:val="000000"/>
          <w:sz w:val="26"/>
          <w:szCs w:val="26"/>
          <w:lang w:eastAsia="uk-UA"/>
        </w:rPr>
        <w:t xml:space="preserve"> </w:t>
      </w:r>
      <w:r w:rsidRPr="00AF7E0E">
        <w:rPr>
          <w:rFonts w:ascii="Times New Roman" w:hAnsi="Times New Roman"/>
          <w:color w:val="000000"/>
          <w:sz w:val="26"/>
          <w:szCs w:val="26"/>
          <w:lang w:eastAsia="uk-UA"/>
        </w:rPr>
        <w:t>Інструкція з монтажу та налаштування комплексу.</w:t>
      </w:r>
    </w:p>
    <w:p w14:paraId="54E3785C" w14:textId="77777777" w:rsidR="00185869" w:rsidRPr="00AF7E0E" w:rsidRDefault="00185869" w:rsidP="00185869">
      <w:pPr>
        <w:suppressAutoHyphens/>
        <w:spacing w:line="252" w:lineRule="auto"/>
        <w:ind w:right="141"/>
        <w:rPr>
          <w:rFonts w:ascii="Times New Roman" w:eastAsia="Calibri" w:hAnsi="Times New Roman" w:cs="Calibri"/>
          <w:i/>
          <w:iCs/>
          <w:spacing w:val="1"/>
          <w:lang w:eastAsia="uk-UA"/>
        </w:rPr>
      </w:pPr>
      <w:r w:rsidRPr="00AF7E0E">
        <w:rPr>
          <w:rFonts w:ascii="Times New Roman" w:eastAsia="Calibri" w:hAnsi="Times New Roman" w:cs="Calibri"/>
          <w:i/>
          <w:iCs/>
          <w:spacing w:val="1"/>
          <w:lang w:eastAsia="uk-UA"/>
        </w:rPr>
        <w:t>* Додаються окремими файлами у складі тендерної документації.</w:t>
      </w:r>
    </w:p>
    <w:p w14:paraId="358D4D3F" w14:textId="77777777" w:rsidR="00185869" w:rsidRDefault="00185869" w:rsidP="00185869">
      <w:pPr>
        <w:tabs>
          <w:tab w:val="left" w:pos="7382"/>
        </w:tabs>
        <w:suppressAutoHyphens/>
        <w:ind w:right="141" w:firstLine="426"/>
        <w:jc w:val="both"/>
        <w:rPr>
          <w:rFonts w:ascii="Times New Roman" w:hAnsi="Times New Roman"/>
          <w:i/>
          <w:iCs/>
          <w:color w:val="000000"/>
          <w:lang w:eastAsia="uk-UA"/>
        </w:rPr>
      </w:pPr>
    </w:p>
    <w:p w14:paraId="123EC7F1" w14:textId="08D942FB" w:rsidR="00FD01AD" w:rsidRPr="00FD01AD" w:rsidRDefault="00185869" w:rsidP="00185869">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r w:rsidRPr="002068A3">
        <w:rPr>
          <w:rFonts w:ascii="Times New Roman" w:hAnsi="Times New Roman"/>
          <w:i/>
          <w:iCs/>
          <w:color w:val="000000"/>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B8A90A9"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7A8D7D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85869">
        <w:rPr>
          <w:rFonts w:ascii="Times New Roman" w:eastAsia="Times New Roman" w:hAnsi="Times New Roman" w:cs="Times New Roman"/>
          <w:sz w:val="24"/>
          <w:szCs w:val="24"/>
          <w:lang w:eastAsia="ru-RU"/>
        </w:rPr>
        <w:t>4 264 266</w:t>
      </w:r>
      <w:r w:rsidR="00177949">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85869">
        <w:rPr>
          <w:rFonts w:ascii="Times New Roman" w:eastAsia="Times New Roman" w:hAnsi="Times New Roman" w:cs="Times New Roman"/>
          <w:sz w:val="24"/>
          <w:szCs w:val="24"/>
          <w:lang w:eastAsia="ru-RU"/>
        </w:rPr>
        <w:t xml:space="preserve">чотири мільйони двісті </w:t>
      </w:r>
      <w:r w:rsidR="00185869">
        <w:rPr>
          <w:rFonts w:ascii="Times New Roman" w:eastAsia="Times New Roman" w:hAnsi="Times New Roman" w:cs="Times New Roman"/>
          <w:sz w:val="24"/>
          <w:szCs w:val="24"/>
          <w:lang w:eastAsia="ru-RU"/>
        </w:rPr>
        <w:lastRenderedPageBreak/>
        <w:t>шістдесят чотири тисячі двісті шістдесят шість</w:t>
      </w:r>
      <w:r w:rsidR="00E1484E">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 xml:space="preserve">гривень </w:t>
      </w:r>
      <w:r w:rsidR="002B2419">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C117" w14:textId="77777777" w:rsidR="006B27F5" w:rsidRDefault="006B27F5">
      <w:pPr>
        <w:spacing w:after="0" w:line="240" w:lineRule="auto"/>
      </w:pPr>
      <w:r>
        <w:separator/>
      </w:r>
    </w:p>
  </w:endnote>
  <w:endnote w:type="continuationSeparator" w:id="0">
    <w:p w14:paraId="719B2A1E" w14:textId="77777777" w:rsidR="006B27F5" w:rsidRDefault="006B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E956" w14:textId="77777777" w:rsidR="006B27F5" w:rsidRDefault="006B27F5">
      <w:pPr>
        <w:spacing w:after="0" w:line="240" w:lineRule="auto"/>
      </w:pPr>
      <w:r>
        <w:separator/>
      </w:r>
    </w:p>
  </w:footnote>
  <w:footnote w:type="continuationSeparator" w:id="0">
    <w:p w14:paraId="434A5F78" w14:textId="77777777" w:rsidR="006B27F5" w:rsidRDefault="006B2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5A019C"/>
    <w:multiLevelType w:val="hybridMultilevel"/>
    <w:tmpl w:val="DECE0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FC75492"/>
    <w:multiLevelType w:val="hybridMultilevel"/>
    <w:tmpl w:val="599E8E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3"/>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2"/>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10"/>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1"/>
  </w:num>
  <w:num w:numId="35" w16cid:durableId="2119257652">
    <w:abstractNumId w:val="35"/>
  </w:num>
  <w:num w:numId="36" w16cid:durableId="1737513576">
    <w:abstractNumId w:val="26"/>
  </w:num>
  <w:num w:numId="37" w16cid:durableId="441071549">
    <w:abstractNumId w:val="37"/>
  </w:num>
  <w:num w:numId="38" w16cid:durableId="2145087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7949"/>
    <w:rsid w:val="001818CA"/>
    <w:rsid w:val="00185869"/>
    <w:rsid w:val="0018656A"/>
    <w:rsid w:val="001944C8"/>
    <w:rsid w:val="001A299B"/>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5CE9"/>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B27F5"/>
    <w:rsid w:val="006D4F36"/>
    <w:rsid w:val="006E3BAE"/>
    <w:rsid w:val="00700467"/>
    <w:rsid w:val="007005BD"/>
    <w:rsid w:val="00710189"/>
    <w:rsid w:val="007136CE"/>
    <w:rsid w:val="00733EFC"/>
    <w:rsid w:val="00752081"/>
    <w:rsid w:val="00766AB0"/>
    <w:rsid w:val="007761A1"/>
    <w:rsid w:val="007B112D"/>
    <w:rsid w:val="007C71D4"/>
    <w:rsid w:val="007E7B59"/>
    <w:rsid w:val="008016BE"/>
    <w:rsid w:val="00811CA9"/>
    <w:rsid w:val="008404B8"/>
    <w:rsid w:val="008471EC"/>
    <w:rsid w:val="0084770C"/>
    <w:rsid w:val="0086417F"/>
    <w:rsid w:val="008909A3"/>
    <w:rsid w:val="008A6BAF"/>
    <w:rsid w:val="008D4BA3"/>
    <w:rsid w:val="008F6ABC"/>
    <w:rsid w:val="00904765"/>
    <w:rsid w:val="00920A2E"/>
    <w:rsid w:val="0094712E"/>
    <w:rsid w:val="009656F2"/>
    <w:rsid w:val="00990EC5"/>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41592"/>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0514"/>
    <w:rsid w:val="00ED61FD"/>
    <w:rsid w:val="00F1103E"/>
    <w:rsid w:val="00F14A71"/>
    <w:rsid w:val="00F15D70"/>
    <w:rsid w:val="00F360BF"/>
    <w:rsid w:val="00F41442"/>
    <w:rsid w:val="00F4253D"/>
    <w:rsid w:val="00F60A0F"/>
    <w:rsid w:val="00F82C72"/>
    <w:rsid w:val="00F83776"/>
    <w:rsid w:val="00F90C90"/>
    <w:rsid w:val="00FA1EE7"/>
    <w:rsid w:val="00FD01AD"/>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1123</Words>
  <Characters>8025</Characters>
  <Application>Microsoft Office Word</Application>
  <DocSecurity>0</DocSecurity>
  <Lines>182</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