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5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комплекту сидінь за кодом CPV за ЄЗС ДК 021:2015: 39110000-6 Сидіння, стільці та супутні вироби і частини до них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707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2215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комплекту сидінь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01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03"/>
              <w:jc w:val="both"/>
              <w:rPr>
                <w:b/>
              </w:rPr>
            </w:pPr>
            <w:r>
              <w:rPr>
                <w:b/>
                <w:smallCaps/>
                <w:color w:val="000000"/>
                <w:lang w:val="ru-RU" w:eastAsia="ru-RU"/>
              </w:rPr>
              <w:t xml:space="preserve">Комплект </w:t>
            </w:r>
            <w:r>
              <w:rPr>
                <w:b/>
                <w:smallCaps/>
                <w:color w:val="000000"/>
                <w:lang w:val="ru-RU" w:eastAsia="ru-RU"/>
              </w:rPr>
              <w:t xml:space="preserve">сидінь</w:t>
            </w:r>
            <w:r>
              <w:rPr>
                <w:b/>
                <w:smallCaps/>
                <w:color w:val="000000"/>
                <w:lang w:val="ru-RU" w:eastAsia="ru-RU"/>
              </w:rPr>
              <w:t xml:space="preserve"> для </w:t>
            </w:r>
            <w:r>
              <w:rPr>
                <w:b/>
                <w:smallCaps/>
                <w:color w:val="000000"/>
                <w:lang w:val="ru-RU" w:eastAsia="ru-RU"/>
              </w:rPr>
              <w:t xml:space="preserve">кімнати</w:t>
            </w:r>
            <w:r>
              <w:rPr>
                <w:b/>
                <w:smallCaps/>
                <w:color w:val="000000"/>
                <w:lang w:val="ru-RU" w:eastAsia="ru-RU"/>
              </w:rPr>
              <w:t xml:space="preserve"> </w:t>
            </w:r>
            <w:r>
              <w:rPr>
                <w:b/>
                <w:smallCaps/>
                <w:color w:val="000000"/>
                <w:lang w:val="ru-RU" w:eastAsia="ru-RU"/>
              </w:rPr>
              <w:t xml:space="preserve">нарад</w:t>
            </w:r>
            <w:r>
              <w:rPr>
                <w:b/>
                <w:smallCaps/>
                <w:color w:val="000000"/>
                <w:lang w:val="ru-RU" w:eastAsia="ru-RU"/>
              </w:rPr>
              <w:t xml:space="preserve"> 1го поверху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</w:tbl>
    <w:p>
      <w:pPr>
        <w:pStyle w:val="703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03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703"/>
        <w:ind w:firstLine="567"/>
        <w:jc w:val="both"/>
        <w:spacing w:after="0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Відповідати  вимогам діючого природоохоронного  законодавства, та мати відповідні дозволи.</w:t>
      </w:r>
      <w:r/>
    </w:p>
    <w:p>
      <w:pPr>
        <w:pStyle w:val="715"/>
        <w:ind w:firstLine="567"/>
        <w:jc w:val="both"/>
        <w:rPr>
          <w:rStyle w:val="7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Style w:val="720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 (надати гарантійний лист).</w:t>
      </w:r>
      <w:r/>
    </w:p>
    <w:p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715"/>
        <w:ind w:firstLine="567"/>
        <w:rPr>
          <w:rStyle w:val="72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Комплект сидінь для кімнати нарад 1го поверху,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 складі:</w:t>
      </w:r>
      <w:r/>
    </w:p>
    <w:p>
      <w:pPr>
        <w:pStyle w:val="699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Сидіння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м’яке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поворотне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штука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Технічні характеристики: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Висота спинки, см-73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Висота сидіння, см- 53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виробу, см -78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Глибина виробу, см-60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Висота від підлоги до підлокітників, см-67-75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Оббивка крісла у натуральній шкірі, Колір-чорний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Підлокітники обладнанні м’якими подушками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Накладки на хрестовину  виконані у кольорі дерево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05125" cy="3368828"/>
                <wp:effectExtent l="0" t="0" r="0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918357" cy="3384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8.8pt;height:265.3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65993" cy="35147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999926" cy="361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3.1pt;height:276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9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Сидіння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м’яке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штуки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Технічні характеристики: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Каркас: чорний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Оббивка: тканина велюр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Колір оббивки: сірий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Висота виробу:770мм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виробу:550 мм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Глибина виробу: 580мм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53000" cy="42100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953000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90.0pt;height:331.5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contextualSpacing/>
        <w:jc w:val="both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Законом України «Про Державний 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32 040,00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дві тисячі сорок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7"/>
  </w:num>
  <w:num w:numId="5">
    <w:abstractNumId w:val="5"/>
  </w:num>
  <w:num w:numId="6">
    <w:abstractNumId w:val="20"/>
  </w:num>
  <w:num w:numId="7">
    <w:abstractNumId w:val="10"/>
  </w:num>
  <w:num w:numId="8">
    <w:abstractNumId w:val="22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1"/>
  </w:num>
  <w:num w:numId="17">
    <w:abstractNumId w:val="1"/>
  </w:num>
  <w:num w:numId="18">
    <w:abstractNumId w:val="23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13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4"/>
    <w:next w:val="6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6"/>
    <w:link w:val="69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6"/>
    <w:link w:val="42"/>
    <w:uiPriority w:val="99"/>
  </w:style>
  <w:style w:type="character" w:styleId="45">
    <w:name w:val="Footer Char"/>
    <w:basedOn w:val="696"/>
    <w:link w:val="705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5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rPr>
      <w:lang w:val="uk-UA"/>
    </w:rPr>
  </w:style>
  <w:style w:type="paragraph" w:styleId="695">
    <w:name w:val="Heading 2"/>
    <w:basedOn w:val="694"/>
    <w:link w:val="71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List Paragraph"/>
    <w:basedOn w:val="694"/>
    <w:link w:val="7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00" w:customStyle="1">
    <w:name w:val="Абзац списку Знак"/>
    <w:link w:val="699"/>
    <w:uiPriority w:val="34"/>
    <w:rPr>
      <w:rFonts w:ascii="Calibri" w:hAnsi="Calibri" w:eastAsia="Calibri" w:cs="Calibri"/>
      <w:lang w:eastAsia="zh-CN"/>
    </w:rPr>
  </w:style>
  <w:style w:type="table" w:styleId="701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2" w:customStyle="1">
    <w:name w:val="Сетка таблицы2"/>
    <w:basedOn w:val="697"/>
    <w:next w:val="701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3">
    <w:name w:val="Normal (Web)"/>
    <w:basedOn w:val="694"/>
    <w:link w:val="710"/>
    <w:unhideWhenUsed/>
    <w:qFormat/>
    <w:rPr>
      <w:rFonts w:ascii="Times New Roman" w:hAnsi="Times New Roman" w:cs="Times New Roman"/>
      <w:sz w:val="24"/>
      <w:szCs w:val="24"/>
    </w:rPr>
  </w:style>
  <w:style w:type="table" w:styleId="704" w:customStyle="1">
    <w:name w:val="Сетка таблицы1"/>
    <w:basedOn w:val="697"/>
    <w:next w:val="701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5">
    <w:name w:val="Footer"/>
    <w:basedOn w:val="694"/>
    <w:link w:val="70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6" w:customStyle="1">
    <w:name w:val="Нижній колонтитул Знак"/>
    <w:basedOn w:val="696"/>
    <w:link w:val="705"/>
    <w:uiPriority w:val="99"/>
    <w:rPr>
      <w:rFonts w:ascii="Calibri" w:hAnsi="Calibri" w:eastAsia="Calibri" w:cs="Calibri"/>
      <w:lang w:eastAsia="zh-CN"/>
    </w:rPr>
  </w:style>
  <w:style w:type="paragraph" w:styleId="707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8">
    <w:name w:val="Hyperlink"/>
    <w:basedOn w:val="696"/>
    <w:uiPriority w:val="99"/>
    <w:unhideWhenUsed/>
    <w:rPr>
      <w:color w:val="0563c1" w:themeColor="hyperlink"/>
      <w:u w:val="single"/>
    </w:rPr>
  </w:style>
  <w:style w:type="character" w:styleId="709" w:customStyle="1">
    <w:name w:val="xfm_93972720"/>
    <w:basedOn w:val="696"/>
  </w:style>
  <w:style w:type="character" w:styleId="710" w:customStyle="1">
    <w:name w:val="Звичайний (веб) Знак"/>
    <w:link w:val="703"/>
    <w:qFormat/>
    <w:rPr>
      <w:rFonts w:ascii="Times New Roman" w:hAnsi="Times New Roman" w:cs="Times New Roman"/>
      <w:sz w:val="24"/>
      <w:szCs w:val="24"/>
      <w:lang w:val="uk-UA"/>
    </w:rPr>
  </w:style>
  <w:style w:type="paragraph" w:styleId="711">
    <w:name w:val="Body Text 2"/>
    <w:basedOn w:val="694"/>
    <w:link w:val="712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2" w:customStyle="1">
    <w:name w:val="Основний текст 2 Знак"/>
    <w:basedOn w:val="696"/>
    <w:link w:val="71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4" w:customStyle="1">
    <w:name w:val="Заголовок 2 Знак"/>
    <w:basedOn w:val="696"/>
    <w:link w:val="695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5">
    <w:name w:val="No Spacing"/>
    <w:link w:val="716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6" w:customStyle="1">
    <w:name w:val="Без інтервалів Знак"/>
    <w:basedOn w:val="696"/>
    <w:link w:val="715"/>
    <w:uiPriority w:val="1"/>
    <w:rPr>
      <w:rFonts w:ascii="Calibri" w:hAnsi="Calibri" w:eastAsia="Calibri" w:cs="Times New Roman"/>
      <w:lang w:val="uk-UA"/>
    </w:rPr>
  </w:style>
  <w:style w:type="character" w:styleId="717" w:customStyle="1">
    <w:name w:val="Другое_"/>
    <w:basedOn w:val="696"/>
    <w:link w:val="718"/>
    <w:rPr>
      <w:rFonts w:ascii="Calibri" w:hAnsi="Calibri" w:eastAsia="Calibri" w:cs="Calibri"/>
      <w:sz w:val="20"/>
      <w:szCs w:val="20"/>
    </w:rPr>
  </w:style>
  <w:style w:type="paragraph" w:styleId="718" w:customStyle="1">
    <w:name w:val="Другое"/>
    <w:basedOn w:val="694"/>
    <w:link w:val="717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9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20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106</cp:revision>
  <dcterms:created xsi:type="dcterms:W3CDTF">2022-11-01T12:47:00Z</dcterms:created>
  <dcterms:modified xsi:type="dcterms:W3CDTF">2023-06-13T06:58:25Z</dcterms:modified>
</cp:coreProperties>
</file>