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Закупівля систем зберігання енергії за ДК 021:2015: 31150000-2 Баласти для розрядних ламп чи трубок</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UA-2024-09-18-008846-а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Cs/>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bCs/>
          <w:sz w:val="24"/>
          <w:szCs w:val="24"/>
        </w:rPr>
        <w:t>Закупівля систем зберігання енергії за ДК 021:2015: 31150000-2 Баласти для розрядних ламп чи трубок</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57"/>
        <w:jc w:val="center"/>
        <w:rPr>
          <w:rFonts w:ascii="Times New Roman" w:hAnsi="Times New Roman" w:cs="Times New Roman"/>
          <w:b/>
          <w:b/>
          <w:color w:val="000000"/>
          <w:sz w:val="24"/>
          <w:szCs w:val="24"/>
        </w:rPr>
      </w:pPr>
      <w:bookmarkStart w:id="0" w:name="_Hlk163655665"/>
      <w:bookmarkEnd w:id="0"/>
      <w:r>
        <w:rPr>
          <w:rFonts w:cs="Times New Roman" w:ascii="Times New Roman" w:hAnsi="Times New Roman"/>
          <w:b/>
          <w:color w:val="000000"/>
          <w:sz w:val="24"/>
          <w:szCs w:val="24"/>
        </w:rPr>
        <w:t>ТЕХНІЧНІ ВИМОГИ</w:t>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Style w:val="a5"/>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0"/>
        <w:gridCol w:w="5672"/>
        <w:gridCol w:w="1700"/>
        <w:gridCol w:w="1701"/>
      </w:tblGrid>
      <w:tr>
        <w:trPr/>
        <w:tc>
          <w:tcPr>
            <w:tcW w:w="560" w:type="dxa"/>
            <w:tcBorders/>
          </w:tcPr>
          <w:p>
            <w:pPr>
              <w:pStyle w:val="NormalWeb"/>
              <w:widowControl w:val="false"/>
              <w:suppressAutoHyphens w:val="true"/>
              <w:spacing w:lineRule="auto" w:line="240" w:before="0" w:after="0"/>
              <w:jc w:val="center"/>
              <w:rPr>
                <w:b/>
                <w:b/>
                <w:bCs/>
              </w:rPr>
            </w:pPr>
            <w:r>
              <w:rPr>
                <w:rFonts w:eastAsia="Calibri"/>
                <w:b/>
                <w:bCs/>
                <w:kern w:val="0"/>
                <w:lang w:eastAsia="en-US" w:bidi="ar-SA"/>
              </w:rPr>
              <w:t xml:space="preserve">№ </w:t>
            </w:r>
            <w:r>
              <w:rPr>
                <w:rFonts w:eastAsia="Calibri"/>
                <w:b/>
                <w:bCs/>
                <w:kern w:val="0"/>
                <w:lang w:eastAsia="en-US" w:bidi="ar-SA"/>
              </w:rPr>
              <w:t>п/п</w:t>
            </w:r>
          </w:p>
        </w:tc>
        <w:tc>
          <w:tcPr>
            <w:tcW w:w="5672" w:type="dxa"/>
            <w:tcBorders/>
          </w:tcPr>
          <w:p>
            <w:pPr>
              <w:pStyle w:val="NormalWeb"/>
              <w:widowControl w:val="false"/>
              <w:suppressAutoHyphens w:val="true"/>
              <w:spacing w:lineRule="auto" w:line="240" w:before="0" w:after="0"/>
              <w:jc w:val="center"/>
              <w:rPr>
                <w:b/>
                <w:b/>
                <w:bCs/>
              </w:rPr>
            </w:pPr>
            <w:r>
              <w:rPr>
                <w:rFonts w:eastAsia="Calibri"/>
                <w:b/>
                <w:bCs/>
                <w:kern w:val="0"/>
                <w:lang w:eastAsia="en-US" w:bidi="ar-SA"/>
              </w:rPr>
              <w:t>Назва системи</w:t>
            </w:r>
          </w:p>
        </w:tc>
        <w:tc>
          <w:tcPr>
            <w:tcW w:w="1700" w:type="dxa"/>
            <w:tcBorders/>
          </w:tcPr>
          <w:p>
            <w:pPr>
              <w:pStyle w:val="NormalWeb"/>
              <w:widowControl w:val="false"/>
              <w:suppressAutoHyphens w:val="true"/>
              <w:spacing w:lineRule="auto" w:line="240" w:before="0" w:after="0"/>
              <w:jc w:val="center"/>
              <w:rPr>
                <w:b/>
                <w:b/>
                <w:bCs/>
              </w:rPr>
            </w:pPr>
            <w:r>
              <w:rPr>
                <w:rFonts w:eastAsia="Calibri"/>
                <w:b/>
                <w:bCs/>
                <w:kern w:val="0"/>
                <w:lang w:eastAsia="en-US" w:bidi="ar-SA"/>
              </w:rPr>
              <w:t>Одиниця виміру</w:t>
            </w:r>
          </w:p>
        </w:tc>
        <w:tc>
          <w:tcPr>
            <w:tcW w:w="1701" w:type="dxa"/>
            <w:tcBorders/>
          </w:tcPr>
          <w:p>
            <w:pPr>
              <w:pStyle w:val="NormalWeb"/>
              <w:widowControl w:val="false"/>
              <w:suppressAutoHyphens w:val="true"/>
              <w:spacing w:lineRule="auto" w:line="240" w:before="0" w:after="0"/>
              <w:jc w:val="center"/>
              <w:rPr>
                <w:b/>
                <w:b/>
                <w:bCs/>
              </w:rPr>
            </w:pPr>
            <w:r>
              <w:rPr>
                <w:rFonts w:eastAsia="Calibri"/>
                <w:b/>
                <w:bCs/>
                <w:kern w:val="0"/>
                <w:lang w:eastAsia="en-US" w:bidi="ar-SA"/>
              </w:rPr>
              <w:t>Кількість</w:t>
            </w:r>
          </w:p>
        </w:tc>
      </w:tr>
      <w:tr>
        <w:trPr/>
        <w:tc>
          <w:tcPr>
            <w:tcW w:w="560" w:type="dxa"/>
            <w:tcBorders/>
            <w:vAlign w:val="center"/>
          </w:tcPr>
          <w:p>
            <w:pPr>
              <w:pStyle w:val="NormalWeb"/>
              <w:widowControl w:val="false"/>
              <w:suppressAutoHyphens w:val="true"/>
              <w:spacing w:lineRule="auto" w:line="240" w:before="0" w:after="0"/>
              <w:jc w:val="center"/>
              <w:rPr>
                <w:b/>
                <w:b/>
                <w:bCs/>
              </w:rPr>
            </w:pPr>
            <w:r>
              <w:rPr>
                <w:rFonts w:eastAsia="Calibri"/>
                <w:b/>
                <w:bCs/>
                <w:kern w:val="0"/>
                <w:lang w:eastAsia="en-US" w:bidi="ar-SA"/>
              </w:rPr>
              <w:t>1</w:t>
            </w:r>
          </w:p>
        </w:tc>
        <w:tc>
          <w:tcPr>
            <w:tcW w:w="5672" w:type="dxa"/>
            <w:tcBorders/>
            <w:vAlign w:val="center"/>
          </w:tcPr>
          <w:p>
            <w:pPr>
              <w:pStyle w:val="NormalWeb"/>
              <w:widowControl w:val="false"/>
              <w:suppressAutoHyphens w:val="true"/>
              <w:spacing w:lineRule="auto" w:line="240" w:before="0" w:after="0"/>
              <w:jc w:val="left"/>
              <w:rPr>
                <w:b/>
                <w:b/>
                <w:bCs/>
              </w:rPr>
            </w:pPr>
            <w:r>
              <w:rPr>
                <w:rFonts w:eastAsia="Calibri"/>
                <w:b/>
                <w:kern w:val="0"/>
                <w:lang w:val="ru-RU" w:eastAsia="en-US" w:bidi="ar-SA"/>
              </w:rPr>
              <w:t>Система зберігання енергії</w:t>
            </w:r>
          </w:p>
        </w:tc>
        <w:tc>
          <w:tcPr>
            <w:tcW w:w="1700" w:type="dxa"/>
            <w:tcBorders/>
            <w:vAlign w:val="center"/>
          </w:tcPr>
          <w:p>
            <w:pPr>
              <w:pStyle w:val="NormalWeb"/>
              <w:widowControl w:val="false"/>
              <w:suppressAutoHyphens w:val="true"/>
              <w:spacing w:lineRule="auto" w:line="240" w:before="0" w:after="0"/>
              <w:jc w:val="center"/>
              <w:rPr>
                <w:b/>
                <w:b/>
                <w:bCs/>
              </w:rPr>
            </w:pPr>
            <w:r>
              <w:rPr>
                <w:rFonts w:eastAsia="Calibri"/>
                <w:b/>
                <w:bCs/>
                <w:kern w:val="0"/>
                <w:lang w:eastAsia="en-US" w:bidi="ar-SA"/>
              </w:rPr>
              <w:t>шт.</w:t>
            </w:r>
          </w:p>
        </w:tc>
        <w:tc>
          <w:tcPr>
            <w:tcW w:w="1701" w:type="dxa"/>
            <w:tcBorders/>
            <w:vAlign w:val="center"/>
          </w:tcPr>
          <w:p>
            <w:pPr>
              <w:pStyle w:val="NormalWeb"/>
              <w:widowControl w:val="false"/>
              <w:suppressAutoHyphens w:val="true"/>
              <w:spacing w:lineRule="auto" w:line="240" w:before="0" w:after="0"/>
              <w:jc w:val="center"/>
              <w:rPr>
                <w:b/>
                <w:b/>
                <w:bCs/>
              </w:rPr>
            </w:pPr>
            <w:r>
              <w:rPr>
                <w:rFonts w:eastAsia="Calibri"/>
                <w:b/>
                <w:bCs/>
                <w:kern w:val="0"/>
                <w:lang w:eastAsia="en-US" w:bidi="ar-SA"/>
              </w:rPr>
              <w:t>2</w:t>
            </w:r>
          </w:p>
        </w:tc>
      </w:tr>
    </w:tbl>
    <w:p>
      <w:pPr>
        <w:pStyle w:val="NormalWeb"/>
        <w:spacing w:lineRule="auto" w:line="240" w:before="0" w:after="0"/>
        <w:jc w:val="both"/>
        <w:rPr>
          <w:b/>
          <w:b/>
          <w:bCs/>
          <w:i/>
          <w:i/>
          <w:iCs/>
          <w:lang w:eastAsia="ru-RU"/>
        </w:rPr>
      </w:pPr>
      <w:r>
        <w:rPr>
          <w:b/>
          <w:bCs/>
          <w:i/>
          <w:iCs/>
          <w:lang w:eastAsia="ru-RU"/>
        </w:rPr>
      </w:r>
    </w:p>
    <w:p>
      <w:pPr>
        <w:pStyle w:val="NormalWeb"/>
        <w:spacing w:lineRule="auto" w:line="240" w:before="0" w:after="0"/>
        <w:jc w:val="both"/>
        <w:rPr>
          <w:b/>
          <w:b/>
          <w:bCs/>
          <w:i/>
          <w:i/>
          <w:iCs/>
          <w:lang w:eastAsia="ru-RU"/>
        </w:rPr>
      </w:pPr>
      <w:r>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p>
    <w:p>
      <w:pPr>
        <w:pStyle w:val="NormalWeb"/>
        <w:spacing w:lineRule="auto" w:line="240" w:before="0" w:after="0"/>
        <w:jc w:val="both"/>
        <w:rPr>
          <w:b/>
          <w:b/>
          <w:bCs/>
          <w:i/>
          <w:i/>
          <w:iCs/>
          <w:lang w:eastAsia="ru-RU"/>
        </w:rPr>
      </w:pPr>
      <w:r>
        <w:rPr>
          <w:b/>
          <w:bCs/>
          <w:i/>
          <w:iCs/>
          <w:lang w:eastAsia="ru-RU"/>
        </w:rPr>
      </w:r>
    </w:p>
    <w:p>
      <w:pPr>
        <w:pStyle w:val="Normal"/>
        <w:spacing w:lineRule="auto" w:line="240" w:before="0" w:after="0"/>
        <w:ind w:firstLine="567"/>
        <w:jc w:val="both"/>
        <w:rPr>
          <w:rFonts w:ascii="Times New Roman" w:hAnsi="Times New Roman" w:cs="Times New Roman"/>
          <w:sz w:val="24"/>
          <w:szCs w:val="24"/>
          <w:lang w:eastAsia="uk-UA"/>
        </w:rPr>
      </w:pPr>
      <w:r>
        <w:rPr>
          <w:rFonts w:cs="Times New Roman" w:ascii="Times New Roman" w:hAnsi="Times New Roman"/>
          <w:color w:val="000000"/>
          <w:sz w:val="24"/>
          <w:szCs w:val="24"/>
        </w:rPr>
        <w:t>Характеристики товару повинні відповідати вимогам або бути кращими тих, які наведені в таблиці.</w:t>
      </w:r>
      <w:r>
        <w:rPr>
          <w:rFonts w:cs="Times New Roman" w:ascii="Times New Roman" w:hAnsi="Times New Roman"/>
          <w:sz w:val="24"/>
          <w:szCs w:val="24"/>
          <w:lang w:eastAsia="uk-UA"/>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pPr>
        <w:pStyle w:val="Normal"/>
        <w:spacing w:lineRule="auto" w:line="240" w:before="0" w:after="0"/>
        <w:jc w:val="both"/>
        <w:rPr>
          <w:rFonts w:ascii="Times New Roman" w:hAnsi="Times New Roman" w:cs="Times New Roman"/>
          <w:sz w:val="24"/>
          <w:szCs w:val="24"/>
          <w:lang w:eastAsia="uk-UA"/>
        </w:rPr>
      </w:pPr>
      <w:r>
        <w:rPr>
          <w:rFonts w:cs="Times New Roman" w:ascii="Times New Roman" w:hAnsi="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pPr>
        <w:pStyle w:val="Normal"/>
        <w:spacing w:lineRule="auto" w:line="240" w:before="0" w:after="0"/>
        <w:jc w:val="both"/>
        <w:rPr>
          <w:rFonts w:ascii="Times New Roman" w:hAnsi="Times New Roman" w:cs="Times New Roman"/>
          <w:sz w:val="24"/>
          <w:szCs w:val="24"/>
          <w:lang w:eastAsia="ar-SA"/>
        </w:rPr>
      </w:pPr>
      <w:r>
        <w:rPr>
          <w:rFonts w:eastAsia="Calibri" w:cs="Times New Roman" w:ascii="Times New Roman" w:hAnsi="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cs="Times New Roman" w:ascii="Times New Roman" w:hAnsi="Times New Roman"/>
          <w:sz w:val="24"/>
          <w:szCs w:val="24"/>
          <w:lang w:eastAsia="ar-SA"/>
        </w:rPr>
        <w:t xml:space="preserve">Учасник повинен забезпечити обслуговування (підтримку) протягом гарантійного терміну. </w:t>
      </w:r>
    </w:p>
    <w:p>
      <w:pPr>
        <w:pStyle w:val="NoSpacing"/>
        <w:jc w:val="both"/>
        <w:rPr>
          <w:rStyle w:val="T23"/>
          <w:sz w:val="24"/>
          <w:szCs w:val="24"/>
        </w:rPr>
      </w:pPr>
      <w:r>
        <w:rPr>
          <w:sz w:val="24"/>
          <w:szCs w:val="24"/>
        </w:rPr>
      </w:r>
    </w:p>
    <w:p>
      <w:pPr>
        <w:pStyle w:val="Normal"/>
        <w:spacing w:lineRule="auto" w:line="240" w:before="0" w:after="0"/>
        <w:ind w:left="14" w:firstLine="538"/>
        <w:jc w:val="both"/>
        <w:rPr>
          <w:rFonts w:ascii="Times New Roman" w:hAnsi="Times New Roman" w:cs="Times New Roman"/>
          <w:sz w:val="24"/>
          <w:szCs w:val="24"/>
          <w:lang w:eastAsia="ar-SA"/>
        </w:rPr>
      </w:pPr>
      <w:r>
        <w:rPr>
          <w:rFonts w:cs="Times New Roman" w:ascii="Times New Roman" w:hAnsi="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pPr>
        <w:pStyle w:val="Normal"/>
        <w:spacing w:lineRule="auto" w:line="240" w:before="0" w:after="0"/>
        <w:ind w:left="14" w:firstLine="538"/>
        <w:contextualSpacing/>
        <w:jc w:val="center"/>
        <w:rPr>
          <w:rFonts w:ascii="Times New Roman" w:hAnsi="Times New Roman" w:cs="Times New Roman"/>
          <w:b/>
          <w:b/>
          <w:bCs/>
          <w:sz w:val="24"/>
          <w:szCs w:val="24"/>
          <w:lang w:eastAsia="ar-SA"/>
        </w:rPr>
      </w:pPr>
      <w:r>
        <w:rPr>
          <w:rFonts w:cs="Times New Roman" w:ascii="Times New Roman" w:hAnsi="Times New Roman"/>
          <w:b/>
          <w:bCs/>
          <w:sz w:val="24"/>
          <w:szCs w:val="24"/>
          <w:lang w:eastAsia="ar-SA"/>
        </w:rPr>
      </w:r>
    </w:p>
    <w:p>
      <w:pPr>
        <w:pStyle w:val="Normal"/>
        <w:spacing w:lineRule="auto" w:line="240" w:before="0" w:after="0"/>
        <w:ind w:left="14" w:firstLine="538"/>
        <w:contextualSpacing/>
        <w:jc w:val="center"/>
        <w:rPr>
          <w:rFonts w:ascii="Times New Roman" w:hAnsi="Times New Roman" w:cs="Times New Roman"/>
          <w:b/>
          <w:b/>
          <w:bCs/>
          <w:sz w:val="24"/>
          <w:szCs w:val="24"/>
          <w:lang w:eastAsia="ar-SA"/>
        </w:rPr>
      </w:pPr>
      <w:r>
        <w:rPr>
          <w:rFonts w:cs="Times New Roman" w:ascii="Times New Roman" w:hAnsi="Times New Roman"/>
          <w:b/>
          <w:bCs/>
          <w:sz w:val="24"/>
          <w:szCs w:val="24"/>
          <w:lang w:eastAsia="ar-SA"/>
        </w:rPr>
        <w:t>Таблиця відповідності</w:t>
      </w:r>
    </w:p>
    <w:p>
      <w:pPr>
        <w:pStyle w:val="Normal"/>
        <w:spacing w:lineRule="auto" w:line="240" w:before="0" w:after="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r>
    </w:p>
    <w:tbl>
      <w:tblPr>
        <w:tblpPr w:vertAnchor="text" w:horzAnchor="margin" w:leftFromText="180" w:rightFromText="180" w:tblpX="0" w:tblpY="-62"/>
        <w:tblW w:w="10031"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997"/>
        <w:gridCol w:w="2928"/>
        <w:gridCol w:w="3162"/>
        <w:gridCol w:w="2943"/>
      </w:tblGrid>
      <w:tr>
        <w:trPr/>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sz w:val="24"/>
                <w:szCs w:val="24"/>
                <w:lang w:eastAsia="ar-SA"/>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з/п</w:t>
            </w:r>
          </w:p>
        </w:tc>
        <w:tc>
          <w:tcPr>
            <w:tcW w:w="29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bCs/>
                <w:sz w:val="24"/>
                <w:szCs w:val="24"/>
                <w:lang w:eastAsia="ar-SA"/>
              </w:rPr>
            </w:pPr>
            <w:r>
              <w:rPr>
                <w:rFonts w:cs="Times New Roman" w:ascii="Times New Roman" w:hAnsi="Times New Roman"/>
                <w:bCs/>
                <w:sz w:val="24"/>
                <w:szCs w:val="24"/>
                <w:lang w:eastAsia="ar-SA"/>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sz w:val="24"/>
                <w:szCs w:val="24"/>
                <w:lang w:eastAsia="ar-SA"/>
              </w:rPr>
            </w:pPr>
            <w:r>
              <w:rPr>
                <w:rFonts w:cs="Times New Roman" w:ascii="Times New Roman" w:hAnsi="Times New Roman"/>
                <w:bCs/>
                <w:sz w:val="24"/>
                <w:szCs w:val="24"/>
                <w:lang w:eastAsia="ar-SA"/>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contextualSpacing/>
              <w:jc w:val="center"/>
              <w:rPr>
                <w:rFonts w:ascii="Times New Roman" w:hAnsi="Times New Roman" w:cs="Times New Roman"/>
                <w:sz w:val="24"/>
                <w:szCs w:val="24"/>
                <w:lang w:eastAsia="ar-SA"/>
              </w:rPr>
            </w:pPr>
            <w:r>
              <w:rPr>
                <w:rFonts w:cs="Times New Roman" w:ascii="Times New Roman" w:hAnsi="Times New Roman"/>
                <w:bCs/>
                <w:sz w:val="24"/>
                <w:szCs w:val="24"/>
                <w:lang w:eastAsia="ar-SA"/>
              </w:rPr>
              <w:t>Опис технічних вимог, які  пропонуються Учасником</w:t>
            </w:r>
          </w:p>
        </w:tc>
      </w:tr>
    </w:tbl>
    <w:p>
      <w:pPr>
        <w:pStyle w:val="Normal"/>
        <w:spacing w:lineRule="auto" w:line="240" w:before="0" w:after="0"/>
        <w:ind w:firstLine="263"/>
        <w:jc w:val="both"/>
        <w:rPr>
          <w:rFonts w:ascii="Times New Roman" w:hAnsi="Times New Roman" w:cs="Times New Roman"/>
          <w:bCs/>
          <w:iCs/>
          <w:sz w:val="24"/>
          <w:szCs w:val="24"/>
        </w:rPr>
      </w:pPr>
      <w:r/>
      <w:r>
        <w:rPr>
          <w:rFonts w:cs="Times New Roman" w:ascii="Times New Roman" w:hAnsi="Times New Roman"/>
          <w:bCs/>
          <w:iCs/>
          <w:sz w:val="24"/>
          <w:szCs w:val="24"/>
        </w:rPr>
        <w:t>Товар повинен відповідати вимогам:</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 Закону України від 14.08.2014р. № 1644-VІІ «Про санкції»,</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pPr>
        <w:pStyle w:val="Normal"/>
        <w:spacing w:lineRule="auto" w:line="240" w:before="0" w:after="0"/>
        <w:ind w:firstLine="263"/>
        <w:jc w:val="both"/>
        <w:rPr>
          <w:rFonts w:ascii="Times New Roman" w:hAnsi="Times New Roman" w:cs="Times New Roman"/>
          <w:bCs/>
          <w:iCs/>
          <w:sz w:val="24"/>
          <w:szCs w:val="24"/>
        </w:rPr>
      </w:pPr>
      <w:r>
        <w:rPr>
          <w:rFonts w:cs="Times New Roman" w:ascii="Times New Roman" w:hAnsi="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pPr>
        <w:pStyle w:val="Normal"/>
        <w:spacing w:lineRule="auto" w:line="240" w:before="0" w:after="0"/>
        <w:ind w:firstLine="263"/>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ListParagraph"/>
        <w:spacing w:lineRule="auto" w:line="240" w:before="0" w:after="0"/>
        <w:ind w:left="0" w:firstLine="567"/>
        <w:contextualSpacing/>
        <w:jc w:val="center"/>
        <w:rPr>
          <w:rFonts w:ascii="Times New Roman" w:hAnsi="Times New Roman" w:cs="Times New Roman"/>
          <w:b/>
          <w:b/>
          <w:bCs/>
          <w:color w:val="000000" w:themeColor="text1"/>
          <w:sz w:val="24"/>
          <w:szCs w:val="24"/>
          <w:lang w:val="uk-UA"/>
        </w:rPr>
      </w:pPr>
      <w:r>
        <w:rPr>
          <w:rFonts w:cs="Times New Roman" w:ascii="Times New Roman" w:hAnsi="Times New Roman"/>
          <w:b/>
          <w:bCs/>
          <w:color w:val="000000" w:themeColor="text1"/>
          <w:sz w:val="24"/>
          <w:szCs w:val="24"/>
          <w:lang w:val="uk-UA"/>
        </w:rPr>
        <w:t>СПЕЦИФІКАЦІЯ:</w:t>
      </w:r>
    </w:p>
    <w:p>
      <w:pPr>
        <w:pStyle w:val="ListParagraph"/>
        <w:spacing w:lineRule="auto" w:line="240" w:before="0" w:after="0"/>
        <w:ind w:left="0" w:firstLine="567"/>
        <w:contextualSpacing/>
        <w:jc w:val="center"/>
        <w:rPr>
          <w:rFonts w:ascii="Times New Roman" w:hAnsi="Times New Roman" w:cs="Times New Roman"/>
          <w:b/>
          <w:b/>
          <w:bCs/>
          <w:color w:val="000000" w:themeColor="text1"/>
          <w:sz w:val="24"/>
          <w:szCs w:val="24"/>
          <w:lang w:val="uk-UA"/>
        </w:rPr>
      </w:pPr>
      <w:r>
        <w:rPr>
          <w:rFonts w:cs="Times New Roman" w:ascii="Times New Roman" w:hAnsi="Times New Roman"/>
          <w:b/>
          <w:bCs/>
          <w:color w:val="000000" w:themeColor="text1"/>
          <w:sz w:val="24"/>
          <w:szCs w:val="24"/>
          <w:lang w:val="uk-UA"/>
        </w:rPr>
      </w:r>
    </w:p>
    <w:tbl>
      <w:tblPr>
        <w:tblW w:w="9957" w:type="dxa"/>
        <w:jc w:val="left"/>
        <w:tblInd w:w="-147" w:type="dxa"/>
        <w:tblLayout w:type="fixed"/>
        <w:tblCellMar>
          <w:top w:w="0" w:type="dxa"/>
          <w:left w:w="108" w:type="dxa"/>
          <w:bottom w:w="0" w:type="dxa"/>
          <w:right w:w="108" w:type="dxa"/>
        </w:tblCellMar>
        <w:tblLook w:val="04a0" w:noHBand="0" w:noVBand="1" w:firstColumn="1" w:lastRow="0" w:lastColumn="0" w:firstRow="1"/>
      </w:tblPr>
      <w:tblGrid>
        <w:gridCol w:w="504"/>
        <w:gridCol w:w="1789"/>
        <w:gridCol w:w="3517"/>
        <w:gridCol w:w="3261"/>
        <w:gridCol w:w="886"/>
      </w:tblGrid>
      <w:tr>
        <w:trPr>
          <w:trHeight w:val="315" w:hRule="atLeast"/>
        </w:trPr>
        <w:tc>
          <w:tcPr>
            <w:tcW w:w="5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з/п</w:t>
            </w:r>
          </w:p>
        </w:tc>
        <w:tc>
          <w:tcPr>
            <w:tcW w:w="1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Найменування товару</w:t>
            </w:r>
          </w:p>
        </w:tc>
        <w:tc>
          <w:tcPr>
            <w:tcW w:w="677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Характеристики товару</w:t>
            </w:r>
          </w:p>
        </w:tc>
        <w:tc>
          <w:tcPr>
            <w:tcW w:w="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К-сть, шт</w:t>
            </w:r>
          </w:p>
        </w:tc>
      </w:tr>
      <w:tr>
        <w:trPr>
          <w:trHeight w:val="300" w:hRule="atLeast"/>
        </w:trPr>
        <w:tc>
          <w:tcPr>
            <w:tcW w:w="5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Система зберігання енергії</w:t>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Тип</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Гібридна трьох фазна система зберігання енергії (резервного електроживлення) в серійному монокорпусному виконанні з встановленням, налаштуванням на вводом в експлуатацію на майданчику замовника</w:t>
            </w:r>
          </w:p>
        </w:tc>
        <w:tc>
          <w:tcPr>
            <w:tcW w:w="88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Кількість інверторів у складі системи</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Тип сигналу</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Чиста синусоїда</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Номінальна потужність інвертору АС</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12000 Вт</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Пікова потужність інвертору АС</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24000 Вт</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Макс. вхідна потужність PV (сонячного масиву) </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15600 Вт</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Максимальний струм заряду (вихід інвертора)</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240 A</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Кількість фаз</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Кількість MPPT</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2</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Функція холодного запуску </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Кількість батарей у складі системи</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4</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Тип батареї</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LiFePO4</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Сумарна </w:t>
            </w:r>
            <w:r>
              <w:rPr>
                <w:rFonts w:cs="Times New Roman" w:ascii="Times New Roman" w:hAnsi="Times New Roman"/>
                <w:sz w:val="24"/>
                <w:szCs w:val="24"/>
              </w:rPr>
              <w:t>повна енергія, що зберігається в блоці батарей</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Не менше </w:t>
            </w:r>
            <w:r>
              <w:rPr>
                <w:rFonts w:cs="Times New Roman" w:ascii="Times New Roman" w:hAnsi="Times New Roman"/>
                <w:sz w:val="24"/>
                <w:szCs w:val="24"/>
              </w:rPr>
              <w:t>19200 Вт*г</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Номінальна напруга батарей</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48 В</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Життевий цикл батарейного блоку (кількість циклів повного заряду/розряду блоку батарей, після яких в ньому залишиться не менше ніж 80% від початкової номінальної ємності. Умови випробування: струм 0.2С, температура 25 градусів C.)</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Не менше 6000 циклів </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Максимально можливий струм заряду батарейного блоку</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240 A</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Кількість та тип вбудованих вихідних роз'ємів з батарейним резервуванням та перемикачем вкл/викл</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8 х Schuko</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Окремий порт для підключення бензинового або дизель генератора</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Можливість обмеження потужності яку інвертор може брати з генератора</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Не менше ніж 6 періодів для визначення часу заряду/розряду батарей</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Повністю небалансований вихід по кожній фазі</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Максимальна потужність по одній фазі не менше ніж 50% від загальної потужності інвертора</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Вбудований захист від перенавантаження в інверторі. </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Синхронізація </w:t>
            </w:r>
            <w:r>
              <w:rPr>
                <w:rFonts w:cs="Times New Roman" w:ascii="Times New Roman" w:hAnsi="Times New Roman"/>
                <w:color w:val="000000"/>
                <w:sz w:val="24"/>
                <w:szCs w:val="24"/>
                <w:lang w:val="en-US"/>
              </w:rPr>
              <w:t>BMS</w:t>
            </w:r>
            <w:r>
              <w:rPr>
                <w:rFonts w:cs="Times New Roman" w:ascii="Times New Roman" w:hAnsi="Times New Roman"/>
                <w:color w:val="000000"/>
                <w:sz w:val="24"/>
                <w:szCs w:val="24"/>
              </w:rPr>
              <w:t xml:space="preserve"> блоку батарей з інвертором </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Додатковий зовнішній запобіжник/роз’єднувач по постійному струму зі швидким розщепленням</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FF0000"/>
                <w:sz w:val="24"/>
                <w:szCs w:val="24"/>
              </w:rPr>
            </w:pPr>
            <w:r>
              <w:rPr>
                <w:rFonts w:cs="Times New Roman" w:ascii="Times New Roman" w:hAnsi="Times New Roman"/>
                <w:color w:val="000000"/>
                <w:sz w:val="24"/>
                <w:szCs w:val="24"/>
              </w:rPr>
              <w:t>Автоматичний захист по змінному струму</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Ручний перемикач для виключення системи зберігання енергії з ланцюга живлення навантаження (Для проведення діагностики і сервісного обслуговування системи) </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en-US"/>
              </w:rPr>
              <w:t>WiFi</w:t>
            </w:r>
            <w:r>
              <w:rPr>
                <w:rFonts w:cs="Times New Roman" w:ascii="Times New Roman" w:hAnsi="Times New Roman"/>
                <w:sz w:val="24"/>
                <w:szCs w:val="24"/>
              </w:rPr>
              <w:t xml:space="preserve"> модуль для моніторингу стану системи в реальному часі</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Додаток для </w:t>
            </w:r>
            <w:r>
              <w:rPr>
                <w:rFonts w:cs="Times New Roman" w:ascii="Times New Roman" w:hAnsi="Times New Roman"/>
                <w:sz w:val="24"/>
                <w:szCs w:val="24"/>
                <w:lang w:val="en-US"/>
              </w:rPr>
              <w:t>Android</w:t>
            </w:r>
            <w:r>
              <w:rPr>
                <w:rFonts w:cs="Times New Roman" w:ascii="Times New Roman" w:hAnsi="Times New Roman"/>
                <w:sz w:val="24"/>
                <w:szCs w:val="24"/>
              </w:rPr>
              <w:t>/</w:t>
            </w:r>
            <w:r>
              <w:rPr>
                <w:rFonts w:cs="Times New Roman" w:ascii="Times New Roman" w:hAnsi="Times New Roman"/>
                <w:sz w:val="24"/>
                <w:szCs w:val="24"/>
                <w:lang w:val="en-US"/>
              </w:rPr>
              <w:t>IOS</w:t>
            </w:r>
            <w:r>
              <w:rPr>
                <w:rFonts w:cs="Times New Roman" w:ascii="Times New Roman" w:hAnsi="Times New Roman"/>
                <w:sz w:val="24"/>
                <w:szCs w:val="24"/>
              </w:rPr>
              <w:t xml:space="preserve"> з можливістю доступу до: статистики, стану споживання, параметрів, налаштувань, характеристик блоку батарей і інвертора. </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rPr>
              <w:t>Так</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2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Додатковий опціонал/можливості</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Розумний режим заряду акумулятора для оптимізації терміну служби акумулятора</w:t>
              <w:br/>
              <w:t>Захист від перевантаження, високої температури, короткого замикання на виході інвертора, захист від перенапруги</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Гарантія </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Не менше 60 місяців</w:t>
            </w:r>
          </w:p>
        </w:tc>
        <w:tc>
          <w:tcPr>
            <w:tcW w:w="8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ListParagraph"/>
        <w:spacing w:lineRule="auto" w:line="240" w:before="0" w:after="0"/>
        <w:ind w:left="0" w:firstLine="567"/>
        <w:contextualSpacing/>
        <w:jc w:val="center"/>
        <w:rPr>
          <w:rFonts w:ascii="Times New Roman" w:hAnsi="Times New Roman" w:cs="Times New Roman"/>
          <w:b/>
          <w:b/>
          <w:bCs/>
          <w:color w:val="000000" w:themeColor="text1"/>
          <w:sz w:val="24"/>
          <w:szCs w:val="24"/>
          <w:lang w:val="uk-UA"/>
        </w:rPr>
      </w:pPr>
      <w:r>
        <w:rPr>
          <w:rFonts w:cs="Times New Roman" w:ascii="Times New Roman" w:hAnsi="Times New Roman"/>
          <w:b/>
          <w:bCs/>
          <w:color w:val="000000" w:themeColor="text1"/>
          <w:sz w:val="24"/>
          <w:szCs w:val="24"/>
          <w:lang w:val="uk-UA"/>
        </w:rPr>
      </w:r>
      <w:bookmarkStart w:id="1" w:name="_Hlk1636556651"/>
      <w:bookmarkStart w:id="2" w:name="_Hlk1636556651"/>
      <w:bookmarkEnd w:id="2"/>
    </w:p>
    <w:p>
      <w:pPr>
        <w:pStyle w:val="Normal"/>
        <w:spacing w:lineRule="auto" w:line="240" w:before="0" w:after="0"/>
        <w:ind w:firstLine="263"/>
        <w:jc w:val="both"/>
        <w:rPr>
          <w:rFonts w:ascii="Times New Roman" w:hAnsi="Times New Roman" w:cs="Times New Roman"/>
          <w:i/>
          <w:i/>
          <w:sz w:val="24"/>
          <w:szCs w:val="24"/>
        </w:rPr>
      </w:pPr>
      <w:r>
        <w:rPr>
          <w:rFonts w:cs="Times New Roman" w:ascii="Times New Roman" w:hAnsi="Times New Roman"/>
          <w:i/>
          <w:sz w:val="24"/>
          <w:szCs w:val="24"/>
        </w:rPr>
        <w:t>У разі, якщо у цій тендерній документації (у тому числі у технічній специфікації) міститься посилання:</w:t>
      </w:r>
    </w:p>
    <w:p>
      <w:pPr>
        <w:pStyle w:val="Normal"/>
        <w:spacing w:lineRule="auto" w:line="240" w:before="0" w:after="0"/>
        <w:ind w:firstLine="263"/>
        <w:jc w:val="both"/>
        <w:rPr>
          <w:rFonts w:ascii="Times New Roman" w:hAnsi="Times New Roman" w:cs="Times New Roman"/>
          <w:i/>
          <w:i/>
          <w:sz w:val="24"/>
          <w:szCs w:val="24"/>
        </w:rPr>
      </w:pPr>
      <w:r>
        <w:rPr>
          <w:rFonts w:cs="Times New Roman" w:ascii="Times New Roman" w:hAnsi="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pPr>
        <w:pStyle w:val="Normal"/>
        <w:shd w:val="clear" w:color="auto" w:fill="FFFFFF"/>
        <w:suppressAutoHyphens w:val="tru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contextualSpacing/>
        <w:jc w:val="both"/>
        <w:rPr>
          <w:rFonts w:ascii="Times New Roman" w:hAnsi="Times New Roman" w:cs="Times New Roman"/>
          <w:b/>
          <w:b/>
          <w:bCs/>
          <w:sz w:val="24"/>
          <w:szCs w:val="24"/>
        </w:rPr>
      </w:pPr>
      <w:r>
        <w:rPr>
          <w:rFonts w:cs="Times New Roman" w:ascii="Times New Roman" w:hAnsi="Times New Roman"/>
          <w:b/>
          <w:bCs/>
          <w:sz w:val="24"/>
          <w:szCs w:val="24"/>
        </w:rPr>
        <w:t>Вимоги до предмету закупівлі:</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На підтвердження відповідності Товару, що є предметом закупівлі (система зберігання енергії) якісним характеристикам Учасник повинен надати: декларацію про відповідність та сертифікат відповідності згідно з нормами чинного законодавства України.</w:t>
      </w:r>
    </w:p>
    <w:p>
      <w:pPr>
        <w:pStyle w:val="Normal"/>
        <w:spacing w:lineRule="auto" w:line="240" w:before="0" w:after="0"/>
        <w:jc w:val="both"/>
        <w:rPr>
          <w:rFonts w:ascii="Times New Roman" w:hAnsi="Times New Roman" w:cs="Times New Roman"/>
          <w:sz w:val="24"/>
          <w:szCs w:val="24"/>
        </w:rPr>
      </w:pPr>
      <w:bookmarkStart w:id="3" w:name="_Hlk168910161"/>
      <w:r>
        <w:rPr>
          <w:rFonts w:cs="Times New Roman" w:ascii="Times New Roman" w:hAnsi="Times New Roman"/>
          <w:sz w:val="24"/>
          <w:szCs w:val="24"/>
        </w:rPr>
        <w:t>2. На підтвердження відповідності санітарно-епідеміологічному законодавству Учасник повинен надати висновок державної санітарно-епідеміологічної експертизи або інші документи згідно з нормами чинного законодавства України.</w:t>
      </w:r>
      <w:bookmarkEnd w:id="3"/>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Якщо Учасник не є виробником товару, що є предметом закупівлі (</w:t>
      </w:r>
      <w:r>
        <w:rPr>
          <w:rFonts w:cs="Times New Roman" w:ascii="Times New Roman" w:hAnsi="Times New Roman"/>
          <w:color w:val="000000"/>
          <w:sz w:val="24"/>
          <w:szCs w:val="24"/>
        </w:rPr>
        <w:t>система зберігання енергії</w:t>
      </w:r>
      <w:r>
        <w:rPr>
          <w:rFonts w:cs="Times New Roman" w:ascii="Times New Roman" w:hAnsi="Times New Roman"/>
          <w:sz w:val="24"/>
          <w:szCs w:val="24"/>
        </w:rPr>
        <w:t>),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5. Учасник надає перелік авторизованих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Гарантійні листи повинні бути адресовані Замовнику із обов’язковим зазначенням найменування та номеру закупівлі.</w:t>
      </w:r>
    </w:p>
    <w:p>
      <w:pPr>
        <w:pStyle w:val="Normal"/>
        <w:widowControl w:val="false"/>
        <w:spacing w:lineRule="auto" w:line="240" w:before="0" w:after="0"/>
        <w:ind w:right="-1" w:hanging="0"/>
        <w:jc w:val="both"/>
        <w:rPr>
          <w:rFonts w:ascii="Times New Roman" w:hAnsi="Times New Roman" w:cs="Times New Roman"/>
          <w:sz w:val="24"/>
          <w:szCs w:val="24"/>
        </w:rPr>
      </w:pPr>
      <w:r>
        <w:rPr>
          <w:rFonts w:cs="Times New Roman" w:ascii="Times New Roman" w:hAnsi="Times New Roman"/>
          <w:sz w:val="24"/>
          <w:szCs w:val="24"/>
        </w:rPr>
        <w:t>7.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832 308,00 грн. (вісімсот тридцять дві тисячі триста вісім гривень 00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Tms Rmn">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34"/>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16"/>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34"/>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5">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suppressAutoHyphens w:val="tru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6"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1" w:customStyle="1">
    <w:name w:val="Звичайний1"/>
    <w:qFormat/>
    <w:rsid w:val="00f4253d"/>
    <w:pPr>
      <w:widowControl/>
      <w:suppressAutoHyphens w:val="true"/>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2"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17">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Application>Collabora_Office/22.05.20.1$Linux_X86_64 LibreOffice_project/bd9263bb6d0222e89e44fbff51d0d094dad8e281</Application>
  <AppVersion>15.0000</AppVersion>
  <Pages>5</Pages>
  <Words>1576</Words>
  <Characters>10904</Characters>
  <CharactersWithSpaces>12385</CharactersWithSpaces>
  <Paragraphs>119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
  <dcterms:modified xsi:type="dcterms:W3CDTF">2024-09-18T11:46:32Z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file>