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color w:val="000000"/>
          <w:sz w:val="24"/>
          <w:szCs w:val="24"/>
        </w:rPr>
        <w:t>Виготовлення проєктної документації по об’єкту: «Реконструкція нежитлових будівель та споруд під адміністративно-інформаційний центр ДУ ЦІТ МВС України за адресою: м. Одеса, вул. Донорська (Слєпньова), 6» (в тому числі комплексна експертиза проекту) за кодом CPV за ЄЗС ДК 021:2015:71320000-7 «Послуги з інженерного проектування»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UA-2024-09-11-002822-а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bCs/>
          <w:color w:val="000000"/>
          <w:sz w:val="24"/>
          <w:szCs w:val="24"/>
        </w:rPr>
        <w:t>Виготовлення проєктної документації по об’єкту: «Реконструкція нежитлових будівель та споруд під адміністративно-інформаційний центр ДУ ЦІТ МВС України за адресою: м. Одеса, вул. Донорська (Слєпньова), 6» (в тому числі комплексна експертиза проекту) за кодом CPV за ЄЗС ДК 021:2015:71320000-7 «Послуги з інженерного проектування»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13"/>
        <w:jc w:val="center"/>
        <w:rPr>
          <w:rFonts w:ascii="Times New Roman" w:hAnsi="Times New Roman"/>
          <w:b/>
          <w:b/>
          <w:color w:val="000000"/>
          <w:sz w:val="24"/>
          <w:szCs w:val="24"/>
        </w:rPr>
      </w:pPr>
      <w:r>
        <w:rPr>
          <w:rFonts w:ascii="Times New Roman" w:hAnsi="Times New Roman"/>
          <w:b/>
          <w:color w:val="000000"/>
          <w:sz w:val="24"/>
          <w:szCs w:val="24"/>
        </w:rPr>
        <w:t>ЗАВДАННЯ НА ПРОЄКТУВАННЯ</w:t>
      </w:r>
    </w:p>
    <w:p>
      <w:pPr>
        <w:pStyle w:val="13"/>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jc w:val="center"/>
        <w:rPr>
          <w:rFonts w:ascii="Times New Roman" w:hAnsi="Times New Roman" w:cs="Times New Roman"/>
          <w:b/>
          <w:b/>
          <w:bCs/>
          <w:kern w:val="2"/>
          <w:sz w:val="24"/>
          <w:szCs w:val="24"/>
        </w:rPr>
      </w:pPr>
      <w:r>
        <w:rPr>
          <w:rFonts w:cs="Times New Roman" w:ascii="Times New Roman" w:hAnsi="Times New Roman"/>
          <w:b/>
          <w:bCs/>
          <w:kern w:val="2"/>
          <w:sz w:val="24"/>
          <w:szCs w:val="24"/>
        </w:rPr>
        <w:t>на розробку проєктно-кошторисної документації по об’єкту: «Реконструкція нежитлових будівель та споруд під адміністративно-інформаційний центр ДУ ЦІТ МВС України за адресою: м. Одеса, вул. Донорська (Слєпньова), 6»</w:t>
      </w:r>
      <w:r>
        <w:rPr>
          <w:rFonts w:cs="Times New Roman" w:ascii="Times New Roman" w:hAnsi="Times New Roman"/>
          <w:kern w:val="2"/>
          <w:sz w:val="24"/>
          <w:szCs w:val="24"/>
        </w:rPr>
        <w:t xml:space="preserve"> </w:t>
      </w:r>
      <w:r>
        <w:rPr>
          <w:rFonts w:cs="Times New Roman" w:ascii="Times New Roman" w:hAnsi="Times New Roman"/>
          <w:b/>
          <w:bCs/>
          <w:kern w:val="2"/>
          <w:sz w:val="24"/>
          <w:szCs w:val="24"/>
        </w:rPr>
        <w:t>(в тому числі комплексна експертиза проєкту)</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10348" w:type="dxa"/>
        <w:jc w:val="left"/>
        <w:tblInd w:w="-431" w:type="dxa"/>
        <w:tblLayout w:type="fixed"/>
        <w:tblCellMar>
          <w:top w:w="0" w:type="dxa"/>
          <w:left w:w="108" w:type="dxa"/>
          <w:bottom w:w="0" w:type="dxa"/>
          <w:right w:w="108" w:type="dxa"/>
        </w:tblCellMar>
        <w:tblLook w:val="04a0" w:noHBand="0" w:noVBand="1" w:firstColumn="1" w:lastRow="0" w:lastColumn="0" w:firstRow="1"/>
      </w:tblPr>
      <w:tblGrid>
        <w:gridCol w:w="849"/>
        <w:gridCol w:w="3120"/>
        <w:gridCol w:w="6379"/>
      </w:tblGrid>
      <w:tr>
        <w:trPr>
          <w:trHeight w:val="850"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color w:val="000000"/>
                <w:sz w:val="24"/>
                <w:szCs w:val="24"/>
                <w:lang w:eastAsia="ru-RU"/>
              </w:rPr>
            </w:pPr>
            <w:r>
              <w:rPr>
                <w:rFonts w:cs="Times New Roman" w:ascii="Times New Roman" w:hAnsi="Times New Roman"/>
                <w:b/>
                <w:bCs/>
                <w:kern w:val="2"/>
                <w:sz w:val="24"/>
                <w:szCs w:val="24"/>
              </w:rPr>
              <w:t>проєкту)</w:t>
            </w:r>
            <w:r>
              <w:rPr>
                <w:rFonts w:cs="Times New Roman" w:ascii="Times New Roman" w:hAnsi="Times New Roman"/>
                <w:b/>
                <w:bCs/>
                <w:color w:val="000000"/>
                <w:sz w:val="24"/>
                <w:szCs w:val="24"/>
                <w:lang w:eastAsia="ru-RU"/>
              </w:rPr>
              <w:t>№ п/п</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82" w:hanging="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t>Перелік основних даних та вимог</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82" w:hanging="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t>Основні дані та вимоги</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82" w:hanging="0"/>
              <w:rPr>
                <w:rFonts w:ascii="Times New Roman" w:hAnsi="Times New Roman" w:cs="Times New Roman"/>
                <w:sz w:val="24"/>
                <w:szCs w:val="24"/>
                <w:lang w:eastAsia="ru-RU"/>
              </w:rPr>
            </w:pPr>
            <w:r>
              <w:rPr>
                <w:rFonts w:cs="Times New Roman" w:ascii="Times New Roman" w:hAnsi="Times New Roman"/>
                <w:sz w:val="24"/>
                <w:szCs w:val="24"/>
                <w:lang w:eastAsia="ru-RU"/>
              </w:rPr>
              <w:t>Назва та місцезнаходження об’єкта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tabs>
                <w:tab w:val="clear" w:pos="708"/>
                <w:tab w:val="left" w:pos="709" w:leader="none"/>
              </w:tabs>
              <w:spacing w:lineRule="auto" w:line="240" w:before="0" w:after="0"/>
              <w:jc w:val="both"/>
              <w:rPr>
                <w:rFonts w:ascii="Times New Roman" w:hAnsi="Times New Roman" w:eastAsia="SimSun" w:cs="Times New Roman"/>
                <w:iCs/>
                <w:sz w:val="24"/>
                <w:szCs w:val="24"/>
                <w:lang w:eastAsia="ru-RU"/>
              </w:rPr>
            </w:pPr>
            <w:r>
              <w:rPr>
                <w:rFonts w:cs="Times New Roman" w:ascii="Times New Roman" w:hAnsi="Times New Roman"/>
                <w:b/>
                <w:sz w:val="24"/>
                <w:szCs w:val="24"/>
              </w:rPr>
              <w:t>Реконструкція нежитлових будівель та споруд під адміністративно-інформаційний центр ДУ ЦІТ МВС України за адресою: м. Одеса, вул. Донорська (Слєпньова), 6</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Підстава для проектування</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993" w:leader="none"/>
              </w:tabs>
              <w:spacing w:lineRule="auto" w:line="240" w:before="0" w:after="0"/>
              <w:rPr>
                <w:rFonts w:ascii="Times New Roman" w:hAnsi="Times New Roman" w:cs="Times New Roman"/>
                <w:bCs/>
                <w:sz w:val="24"/>
                <w:szCs w:val="24"/>
                <w:shd w:fill="FFFFFF" w:val="clear"/>
                <w:lang w:eastAsia="uk-UA"/>
              </w:rPr>
            </w:pPr>
            <w:r>
              <w:rPr>
                <w:rFonts w:cs="Times New Roman" w:ascii="Times New Roman" w:hAnsi="Times New Roman"/>
                <w:color w:val="000000"/>
                <w:sz w:val="24"/>
                <w:szCs w:val="24"/>
              </w:rPr>
              <w:t>План фінансування на 2024 рік</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Вид будівництва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rPr>
              <w:t>Реконструкція</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Дані про замовника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67" w:leader="none"/>
              </w:tabs>
              <w:spacing w:lineRule="auto" w:line="240" w:before="0" w:after="0"/>
              <w:rPr>
                <w:rFonts w:ascii="Times New Roman" w:hAnsi="Times New Roman" w:cs="Times New Roman"/>
                <w:kern w:val="2"/>
                <w:sz w:val="24"/>
                <w:szCs w:val="24"/>
                <w:lang w:eastAsia="ru-RU"/>
              </w:rPr>
            </w:pPr>
            <w:r>
              <w:rPr>
                <w:rFonts w:cs="Times New Roman" w:ascii="Times New Roman" w:hAnsi="Times New Roman"/>
                <w:sz w:val="24"/>
                <w:szCs w:val="24"/>
              </w:rPr>
              <w:t>Державна установа «Центр інфраструктури та технологій Міністерства внутрішніх справ України»</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rPr>
                <w:rFonts w:ascii="Times New Roman" w:hAnsi="Times New Roman" w:eastAsia="SimSun" w:cs="Times New Roman"/>
                <w:b/>
                <w:b/>
                <w:kern w:val="2"/>
                <w:sz w:val="24"/>
                <w:szCs w:val="24"/>
                <w:lang w:eastAsia="ru-RU"/>
              </w:rPr>
            </w:pPr>
            <w:r>
              <w:rPr>
                <w:rFonts w:eastAsia="SimSun" w:cs="Times New Roman" w:ascii="Times New Roman" w:hAnsi="Times New Roman"/>
                <w:b/>
                <w:kern w:val="2"/>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Джерело фінансування</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rPr>
              <w:t>Державний бюджет</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Дані про генерального проектувальника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Визначається за результатами закупівлі</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Стадійність проектування з визначенням затверджувальної стадії</w:t>
            </w:r>
            <w:r>
              <w:rPr>
                <w:rFonts w:cs="Times New Roman" w:ascii="Times New Roman" w:hAnsi="Times New Roman"/>
                <w:sz w:val="24"/>
                <w:szCs w:val="24"/>
                <w:lang w:val="ru-RU" w:eastAsia="ru-RU"/>
              </w:rPr>
              <w:t xml:space="preserve"> </w:t>
            </w:r>
            <w:r>
              <w:rPr>
                <w:rFonts w:cs="Times New Roman" w:ascii="Times New Roman" w:hAnsi="Times New Roman"/>
                <w:sz w:val="24"/>
                <w:szCs w:val="24"/>
                <w:lang w:eastAsia="ru-RU"/>
              </w:rPr>
              <w:t>(визначається спільно замовником та проектувальником)</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Розробка проектної документації виконується в три стадії:</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стадія ескізний проект (схвалення);</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стадія проект (затверджувальна)</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стадія робоча документація</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Дані про інженерні вишукування</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eastAsia="Times" w:cs="Times New Roman" w:ascii="Times New Roman" w:hAnsi="Times New Roman"/>
                <w:sz w:val="24"/>
                <w:szCs w:val="24"/>
                <w:lang w:eastAsia="hu-HU"/>
              </w:rPr>
              <w:t>Надаються Замовником</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Дані про особливі умови будівництва (сейсмічність, просадні ґрунти, підроблювані та підтоплювані території тощо)</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val="ru-RU" w:eastAsia="ru-RU"/>
              </w:rPr>
              <w:t>Відсутні</w:t>
            </w:r>
          </w:p>
        </w:tc>
      </w:tr>
      <w:tr>
        <w:trPr>
          <w:trHeight w:val="146"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Основні архітектурно-планувальні вимоги і характеристики об’єкта, у тому числі функціональні групи приміщень, назви та площі приміщень</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spacing w:lineRule="auto" w:line="240" w:before="120" w:after="0"/>
              <w:rPr>
                <w:rFonts w:ascii="Times New Roman" w:hAnsi="Times New Roman" w:eastAsia="SimSun" w:cs="Times New Roman"/>
                <w:bCs/>
                <w:sz w:val="24"/>
                <w:szCs w:val="24"/>
                <w:lang w:eastAsia="ru-RU"/>
              </w:rPr>
            </w:pPr>
            <w:r>
              <w:rPr>
                <w:rFonts w:cs="Times New Roman" w:ascii="Times New Roman" w:hAnsi="Times New Roman"/>
                <w:bCs/>
                <w:sz w:val="24"/>
                <w:szCs w:val="24"/>
              </w:rPr>
              <w:t>Реконструкція нежитлових будівель і споруд загальною площею 2515м2; розробка комутаційного центру «Служба 112»</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lang w:eastAsia="ru-RU"/>
              </w:rPr>
              <w:t>Черговість будівництва, необхідність виділення пускових комплексів</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uk-UA"/>
              </w:rPr>
            </w:pPr>
            <w:r>
              <w:rPr>
                <w:rFonts w:cs="Times New Roman" w:ascii="Times New Roman" w:hAnsi="Times New Roman"/>
                <w:sz w:val="24"/>
                <w:szCs w:val="24"/>
                <w:lang w:eastAsia="uk-UA"/>
              </w:rPr>
              <w:t xml:space="preserve">Реконструкція ведеться в 3 черги </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Клас (наслідків) відповідальності та розрахунковий строк експлуатації об’єкта, основних конструктивних і технологічних рішень</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716"/>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Клас (наслідки) відповідальності – СС2</w:t>
            </w:r>
          </w:p>
          <w:p>
            <w:pPr>
              <w:pStyle w:val="Normal"/>
              <w:widowControl w:val="false"/>
              <w:spacing w:lineRule="auto" w:line="240" w:before="0" w:after="0"/>
              <w:ind w:hanging="3716"/>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Розрахунковий строк експлуатації –</w:t>
            </w:r>
            <w:r>
              <w:rPr>
                <w:rFonts w:cs="Times New Roman" w:ascii="Times New Roman" w:hAnsi="Times New Roman"/>
                <w:color w:val="000000"/>
                <w:sz w:val="24"/>
                <w:szCs w:val="24"/>
                <w:lang w:val="ru-RU" w:eastAsia="ru-RU"/>
              </w:rPr>
              <w:t xml:space="preserve"> </w:t>
            </w:r>
            <w:r>
              <w:rPr>
                <w:rFonts w:cs="Times New Roman" w:ascii="Times New Roman" w:hAnsi="Times New Roman"/>
                <w:color w:val="000000"/>
                <w:sz w:val="24"/>
                <w:szCs w:val="24"/>
                <w:lang w:eastAsia="ru-RU"/>
              </w:rPr>
              <w:t>100 років</w:t>
            </w:r>
          </w:p>
        </w:tc>
      </w:tr>
      <w:tr>
        <w:trPr>
          <w:trHeight w:val="4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Вказівки про необхідність:</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 розроблення індивідуальних технічних вимог;</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2) розроблення окремих проектних рішень у декількох варіантах і на конкурсних засадах;</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 попередніх погоджень проектних рішень;</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4) виконання демонстраційних матеріалів, макетів, креслень інтер’єрів, їх склад та форма;</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5) виконання науково – дослідних та дослідно – експериментальних робіт у процесі проектування та будівництва;</w:t>
            </w:r>
          </w:p>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6) технічного захисту інформації</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Відсутні</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Відсутні</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Затвердження замовником стадії Проект</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Візуалізація об’єкта реконструкції</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Відсутні</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Згідно діючого договору</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Потужність або характеристика об’єкта, виробнича програма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Адміністративно-інформаційний центр за призначенням об’єкт невиробничого призначення</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благоустрою майданчика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Виконати благоустрій прилеглої території</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інженерного захисту території і захисту будинків, будівель і споруд від небезпечних природних чи техногенних факторів</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rPr>
              <w:t>Згідно вимог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щодо розроблення розділу «Оцінка впливів на навколишнє середовище»</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Згідно вимог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з енергозбереження та енергоефективності</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Згідно вимог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Дані про технології і (або) науково-дослідні роботи, які пропонує застосувати замовник</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Відсутні</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режиму безпеки та охорони праці</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ru-RU" w:eastAsia="ru-RU"/>
              </w:rPr>
            </w:pPr>
            <w:r>
              <w:rPr>
                <w:rFonts w:cs="Times New Roman" w:ascii="Times New Roman" w:hAnsi="Times New Roman"/>
                <w:sz w:val="24"/>
                <w:szCs w:val="24"/>
                <w:lang w:eastAsia="ru-RU"/>
              </w:rPr>
              <w:t>Згідно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щодо розроблення розділу інженерно-технічних заходів цивільного захисту</w:t>
            </w:r>
          </w:p>
        </w:tc>
        <w:tc>
          <w:tcPr>
            <w:tcW w:w="6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Згідно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систем протипожежного захисту об’єкта</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Згідно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розроблення спеціальних заходів</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Згідно чинних норм та нормативних документів</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Призначення нежитлових поверхів</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Нежитлові приміщення: адміністративного призначення, інженерно-технічного призначення</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Вимоги щодо створення умов для безперешкодного доступу маломобільних груп населення згідно з ДБН В.2.2-40</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eastAsia="Times" w:cs="Times New Roman" w:ascii="Times New Roman" w:hAnsi="Times New Roman"/>
                <w:sz w:val="24"/>
                <w:szCs w:val="24"/>
                <w:lang w:eastAsia="hu-HU"/>
              </w:rPr>
              <w:t>Виконати вимоги щодо створення умов для безперешкодного доступу маломобільних груп населення згідно ДБН В.2.2-40</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Перелік будівель та споруд, що проектуються у складі комплексу (будови)</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w:cs="Times New Roman"/>
                <w:sz w:val="24"/>
                <w:szCs w:val="24"/>
                <w:lang w:eastAsia="hu-HU"/>
              </w:rPr>
            </w:pPr>
            <w:r>
              <w:rPr>
                <w:rFonts w:eastAsia="Times" w:cs="Times New Roman" w:ascii="Times New Roman" w:hAnsi="Times New Roman"/>
                <w:sz w:val="24"/>
                <w:szCs w:val="24"/>
                <w:lang w:eastAsia="hu-HU"/>
              </w:rPr>
              <w:t>Адміністративно-інформаційний центр</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Кількість примірників кошторисної документації</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lang w:val="ru-RU"/>
              </w:rPr>
              <w:t xml:space="preserve">4 </w:t>
            </w:r>
            <w:r>
              <w:rPr>
                <w:rFonts w:cs="Times New Roman" w:ascii="Times New Roman" w:hAnsi="Times New Roman"/>
                <w:color w:val="000000"/>
                <w:sz w:val="24"/>
                <w:szCs w:val="24"/>
              </w:rPr>
              <w:t>примірники в паперовому виді</w:t>
            </w:r>
            <w:r>
              <w:rPr>
                <w:rFonts w:cs="Times New Roman" w:ascii="Times New Roman" w:hAnsi="Times New Roman"/>
                <w:color w:val="000000"/>
                <w:sz w:val="24"/>
                <w:szCs w:val="24"/>
                <w:lang w:val="ru-RU"/>
              </w:rPr>
              <w:t xml:space="preserve"> та </w:t>
            </w:r>
            <w:r>
              <w:rPr>
                <w:rFonts w:cs="Times New Roman" w:ascii="Times New Roman" w:hAnsi="Times New Roman"/>
                <w:color w:val="000000"/>
                <w:sz w:val="24"/>
                <w:szCs w:val="24"/>
              </w:rPr>
              <w:t>1 електронний носій</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Основні вимоги до проектування </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Склад Проекту:</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Загальна пояснювальна записка (в тому числі: коротка характеристика об</w:t>
            </w:r>
            <w:r>
              <w:rPr>
                <w:rFonts w:cs="Times New Roman" w:ascii="Times New Roman" w:hAnsi="Times New Roman"/>
                <w:color w:val="000000"/>
                <w:sz w:val="24"/>
                <w:szCs w:val="24"/>
                <w:lang w:val="en-US"/>
              </w:rPr>
              <w:t>’</w:t>
            </w:r>
            <w:r>
              <w:rPr>
                <w:rFonts w:cs="Times New Roman" w:ascii="Times New Roman" w:hAnsi="Times New Roman"/>
                <w:color w:val="000000"/>
                <w:sz w:val="24"/>
                <w:szCs w:val="24"/>
                <w:lang w:val="uk-UA"/>
              </w:rPr>
              <w:t>єкта будівництва; дані інженерних вишукувань; відомості про потреби в паливі, воді, електричній та тепловій енергії; матеріали ОВНС; доступність об</w:t>
            </w:r>
            <w:r>
              <w:rPr>
                <w:rFonts w:cs="Times New Roman" w:ascii="Times New Roman" w:hAnsi="Times New Roman"/>
                <w:color w:val="000000"/>
                <w:sz w:val="24"/>
                <w:szCs w:val="24"/>
                <w:lang w:val="en-US"/>
              </w:rPr>
              <w:t>’</w:t>
            </w:r>
            <w:r>
              <w:rPr>
                <w:rFonts w:cs="Times New Roman" w:ascii="Times New Roman" w:hAnsi="Times New Roman"/>
                <w:color w:val="000000"/>
                <w:sz w:val="24"/>
                <w:szCs w:val="24"/>
                <w:lang w:val="uk-UA"/>
              </w:rPr>
              <w:t>єкта будівництва для маломобільних груп населення; основні техніко-економічні показники; розрахунок класу наслідків (відповідальності) об</w:t>
            </w:r>
            <w:r>
              <w:rPr>
                <w:rFonts w:cs="Times New Roman" w:ascii="Times New Roman" w:hAnsi="Times New Roman"/>
                <w:color w:val="000000"/>
                <w:sz w:val="24"/>
                <w:szCs w:val="24"/>
                <w:lang w:val="en-US"/>
              </w:rPr>
              <w:t>’</w:t>
            </w:r>
            <w:r>
              <w:rPr>
                <w:rFonts w:cs="Times New Roman" w:ascii="Times New Roman" w:hAnsi="Times New Roman"/>
                <w:color w:val="000000"/>
                <w:sz w:val="24"/>
                <w:szCs w:val="24"/>
                <w:lang w:val="uk-UA"/>
              </w:rPr>
              <w:t>єкта; пожежна безпека; забезпечення енергоефективності  тощо);</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Архітектурно-будівельні рішення (в тому числі: рішення та основні показники генерального плану, благоустрою та озеленення; короткий опис і обгрунтування архітектурних рішень та їх відповідність функціональному призначенню; рішення щодо зовнішнього та внутрішнього оздоблення тощо);</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Рішення та схеми влаштування інженерного обладнання (рішення із внутрішнього та зовнішнього інженерного обладнання (опалення, вентиляція, кондиціонування повітря, водопостачання та каналізація, електрообладнання, електросвітлення, захисту від блискавок, зв</w:t>
            </w:r>
            <w:r>
              <w:rPr>
                <w:rFonts w:cs="Times New Roman" w:ascii="Times New Roman" w:hAnsi="Times New Roman"/>
                <w:color w:val="000000"/>
                <w:sz w:val="24"/>
                <w:szCs w:val="24"/>
                <w:lang w:val="en-US"/>
              </w:rPr>
              <w:t>’</w:t>
            </w:r>
            <w:r>
              <w:rPr>
                <w:rFonts w:cs="Times New Roman" w:ascii="Times New Roman" w:hAnsi="Times New Roman"/>
                <w:color w:val="000000"/>
                <w:sz w:val="24"/>
                <w:szCs w:val="24"/>
                <w:lang w:val="uk-UA"/>
              </w:rPr>
              <w:t>язку та сигналізації тощо); інженерні рішення щодо протипожежних заходів тощо);</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Основні креслення (в тому числі: ситуаційний план; генеральний план; рішення з благоустрою та озеленення; плани трас внутрішньомайданчикових мереж і споруд; схеми розташування фундаментів, плани поверхів, фасади, розрізи будівлі із схематичним зображенням основних несучих та огороджувальних конструкцій; принципові рішення основних вузлів конструктивних елементів, деталі огороджувальних конструкцій; інтер</w:t>
            </w:r>
            <w:r>
              <w:rPr>
                <w:rFonts w:cs="Times New Roman" w:ascii="Times New Roman" w:hAnsi="Times New Roman"/>
                <w:color w:val="000000"/>
                <w:sz w:val="24"/>
                <w:szCs w:val="24"/>
                <w:lang w:val="en-US"/>
              </w:rPr>
              <w:t>’</w:t>
            </w:r>
            <w:r>
              <w:rPr>
                <w:rFonts w:cs="Times New Roman" w:ascii="Times New Roman" w:hAnsi="Times New Roman"/>
                <w:color w:val="000000"/>
                <w:sz w:val="24"/>
                <w:szCs w:val="24"/>
                <w:lang w:val="uk-UA"/>
              </w:rPr>
              <w:t>єри основних приміщень тощо);</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Меблі та інвентар;</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Розділ інженерно-технічних заходів цивільного захисту (на основі існуючого підвального приміщення);</w:t>
            </w:r>
          </w:p>
          <w:p>
            <w:pPr>
              <w:pStyle w:val="ListParagraph"/>
              <w:widowControl w:val="false"/>
              <w:numPr>
                <w:ilvl w:val="0"/>
                <w:numId w:val="2"/>
              </w:numPr>
              <w:spacing w:lineRule="auto" w:line="240" w:before="0" w:after="0"/>
              <w:ind w:left="0" w:hanging="36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Організація будівництва;</w:t>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color w:val="000000"/>
                <w:sz w:val="24"/>
                <w:szCs w:val="24"/>
              </w:rPr>
              <w:t>Кошторисна документація.</w:t>
            </w:r>
          </w:p>
        </w:tc>
      </w:tr>
      <w:tr>
        <w:trPr>
          <w:trHeight w:val="45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uppressAutoHyphens w:val="true"/>
              <w:spacing w:lineRule="auto" w:line="240" w:before="0" w:after="0"/>
              <w:ind w:left="0" w:right="284" w:hanging="0"/>
              <w:jc w:val="center"/>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Вимоги до кошторисної документації</w:t>
            </w:r>
          </w:p>
        </w:tc>
        <w:tc>
          <w:tcPr>
            <w:tcW w:w="6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1. Кошторисна документація має бути розрахована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2. При складанні кошторисної документації врахувати кошти на технічний нагляд (у розмірі 1,5% від підсумку глав 1-9), на авторський нагляд, здійснення комплексної експертизи проектно-кошторисної документації, кошти на покриття ризиків, пов’язаних з проектною документацією, вартість проектних робіт, кошти на формування страхового фонду; кошти на оплату послуг, пов'язаних із введенням об'єктів будівництва в експлуатацію (в тому числі кошти на оплату послуг, пов'язаних з приєднанням об'єкта будівництва до діючих інженерних мереж).</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Кошторисна документація має бути розрахована за допомогою ліцензійного програмного комплексу АВК-5 останньої версії, або аналогу</w:t>
            </w:r>
          </w:p>
        </w:tc>
      </w:tr>
    </w:tbl>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Вартість проектних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 </w:t>
      </w:r>
      <w:r>
        <w:rPr>
          <w:rFonts w:cs="Times New Roman" w:ascii="Times New Roman" w:hAnsi="Times New Roman"/>
          <w:b/>
          <w:bCs/>
          <w:i/>
          <w:iCs/>
          <w:sz w:val="24"/>
          <w:szCs w:val="24"/>
        </w:rPr>
        <w:t>(надати гарантійний лист)</w:t>
      </w:r>
    </w:p>
    <w:p>
      <w:pPr>
        <w:pStyle w:val="Normal"/>
        <w:shd w:val="clear" w:color="auto" w:fill="FFFFFF"/>
        <w:spacing w:lineRule="auto" w:line="240"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У складі своєї пропозиції Учасник повинен надати розрахунок вартості проектних робіт, вартості комплексної експертизи проектно-кошторисної документації.</w:t>
      </w:r>
    </w:p>
    <w:p>
      <w:pPr>
        <w:pStyle w:val="Normal"/>
        <w:tabs>
          <w:tab w:val="clear" w:pos="708"/>
          <w:tab w:val="left" w:pos="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cs="Times New Roman" w:ascii="Times New Roman" w:hAnsi="Times New Roman"/>
          <w:b/>
          <w:bCs/>
          <w:i/>
          <w:iCs/>
          <w:sz w:val="24"/>
          <w:szCs w:val="24"/>
        </w:rPr>
        <w:t>(надати гарантійний лист)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Учасники повинні надати у складі пропозицій гарантійний лист, що Учасник гарантує у разі визначення його переможцем закупівлі, що він зобов’язаний провести комплексну експертизу проектно-кошторисної документації та надати результат експертизи Замовнику, оформлений відповідним документом. У разі якщо у висновку до експертизи буде зазначена менша вартість робіт (в тому числі і проектних)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складі своєї пропозиції Учасник повинен надати копію ліцензії на </w:t>
      </w:r>
      <w:r>
        <w:rPr>
          <w:rFonts w:cs="Times New Roman" w:ascii="Times New Roman" w:hAnsi="Times New Roman"/>
          <w:sz w:val="24"/>
          <w:szCs w:val="24"/>
          <w:lang w:eastAsia="ru-RU"/>
        </w:rPr>
        <w:t>програмний комплекс АВК-5 останньої версії, або аналогу виданої на Учасника.</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3 947 707,00 грн. (три мільйони дев’ятсот сорок сім тисяч сімсот сім гривень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розрахунків як </w:t>
      </w:r>
      <w:r>
        <w:rPr>
          <w:rFonts w:ascii="Times New Roman" w:hAnsi="Times New Roman"/>
          <w:sz w:val="24"/>
          <w:szCs w:val="24"/>
        </w:rPr>
        <w:t>вартість проектних робіт та експертизи проектної документації на будівництво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1"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1" w:hanging="180"/>
      </w:pPr>
      <w:rPr>
        <w:rFonts w:cs="Times New Roman"/>
      </w:rPr>
    </w:lvl>
  </w:abstractNum>
  <w:abstractNum w:abstractNumId="2">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99"/>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99"/>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13" w:customStyle="1">
    <w:name w:val="Без інтервалів1"/>
    <w:qFormat/>
    <w:rsid w:val="000b34d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Application>Collabora_Office/22.05.20.1$Linux_X86_64 LibreOffice_project/bd9263bb6d0222e89e44fbff51d0d094dad8e281</Application>
  <AppVersion>15.0000</AppVersion>
  <Pages>5</Pages>
  <Words>1344</Words>
  <Characters>9711</Characters>
  <CharactersWithSpaces>10930</CharactersWithSpaces>
  <Paragraphs>132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2024-09-11T07:43:00Z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file>