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A18EF1B"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6582D" w:rsidRPr="0076582D">
        <w:rPr>
          <w:b w:val="0"/>
          <w:bCs w:val="0"/>
          <w:sz w:val="24"/>
          <w:szCs w:val="24"/>
        </w:rPr>
        <w:t xml:space="preserve">Закупівля </w:t>
      </w:r>
      <w:proofErr w:type="spellStart"/>
      <w:r w:rsidR="0076582D" w:rsidRPr="0076582D">
        <w:rPr>
          <w:b w:val="0"/>
          <w:bCs w:val="0"/>
          <w:sz w:val="24"/>
          <w:szCs w:val="24"/>
        </w:rPr>
        <w:t>протиожеледного</w:t>
      </w:r>
      <w:proofErr w:type="spellEnd"/>
      <w:r w:rsidR="0076582D" w:rsidRPr="0076582D">
        <w:rPr>
          <w:b w:val="0"/>
          <w:bCs w:val="0"/>
          <w:sz w:val="24"/>
          <w:szCs w:val="24"/>
        </w:rPr>
        <w:t xml:space="preserve"> реагенту за кодом ДК 021:2015: 24950000-8 — Спеціалізована хімічна продукція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1476E12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76582D">
        <w:rPr>
          <w:rFonts w:ascii="Times New Roman" w:hAnsi="Times New Roman" w:cs="Times New Roman"/>
          <w:sz w:val="24"/>
          <w:szCs w:val="24"/>
        </w:rPr>
        <w:t>2</w:t>
      </w:r>
      <w:r w:rsidR="001944C8">
        <w:rPr>
          <w:rFonts w:ascii="Times New Roman" w:hAnsi="Times New Roman" w:cs="Times New Roman"/>
          <w:sz w:val="24"/>
          <w:szCs w:val="24"/>
        </w:rPr>
        <w:t>-</w:t>
      </w:r>
      <w:r w:rsidR="0076582D">
        <w:rPr>
          <w:rFonts w:ascii="Times New Roman" w:hAnsi="Times New Roman" w:cs="Times New Roman"/>
          <w:sz w:val="24"/>
          <w:szCs w:val="24"/>
        </w:rPr>
        <w:t>23</w:t>
      </w:r>
      <w:r w:rsidR="00F60A0F" w:rsidRPr="00F90C90">
        <w:rPr>
          <w:rFonts w:ascii="Times New Roman" w:hAnsi="Times New Roman" w:cs="Times New Roman"/>
          <w:sz w:val="24"/>
          <w:szCs w:val="24"/>
        </w:rPr>
        <w:t>-</w:t>
      </w:r>
      <w:r w:rsidR="0076582D">
        <w:rPr>
          <w:rFonts w:ascii="Times New Roman" w:hAnsi="Times New Roman" w:cs="Times New Roman"/>
          <w:sz w:val="24"/>
          <w:szCs w:val="24"/>
        </w:rPr>
        <w:t>006149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244E935B" w:rsidR="0086417F" w:rsidRDefault="009D1AE9" w:rsidP="0086417F">
      <w:pPr>
        <w:pStyle w:val="2"/>
        <w:shd w:val="clear" w:color="auto" w:fill="FFFFFF" w:themeFill="background1"/>
        <w:spacing w:before="0" w:beforeAutospacing="0" w:after="0" w:afterAutospacing="0"/>
        <w:jc w:val="both"/>
        <w:textAlignment w:val="baseline"/>
        <w:rPr>
          <w:sz w:val="28"/>
          <w:szCs w:val="28"/>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76582D" w:rsidRPr="0076582D">
        <w:rPr>
          <w:b w:val="0"/>
          <w:bCs w:val="0"/>
          <w:sz w:val="24"/>
          <w:szCs w:val="24"/>
        </w:rPr>
        <w:t xml:space="preserve">Закупівля </w:t>
      </w:r>
      <w:proofErr w:type="spellStart"/>
      <w:r w:rsidR="0076582D" w:rsidRPr="0076582D">
        <w:rPr>
          <w:b w:val="0"/>
          <w:bCs w:val="0"/>
          <w:sz w:val="24"/>
          <w:szCs w:val="24"/>
        </w:rPr>
        <w:t>протиожеледного</w:t>
      </w:r>
      <w:proofErr w:type="spellEnd"/>
      <w:r w:rsidR="0076582D" w:rsidRPr="0076582D">
        <w:rPr>
          <w:b w:val="0"/>
          <w:bCs w:val="0"/>
          <w:sz w:val="24"/>
          <w:szCs w:val="24"/>
        </w:rPr>
        <w:t xml:space="preserve"> реагенту за кодом ДК 021:2015: 24950000-8 — Спеціалізована хімічна продукція</w:t>
      </w:r>
    </w:p>
    <w:p w14:paraId="6438D628" w14:textId="77777777" w:rsidR="0076582D" w:rsidRPr="00FC2730" w:rsidRDefault="0076582D" w:rsidP="0086417F">
      <w:pPr>
        <w:pStyle w:val="2"/>
        <w:shd w:val="clear" w:color="auto" w:fill="FFFFFF" w:themeFill="background1"/>
        <w:spacing w:before="0" w:beforeAutospacing="0" w:after="0" w:afterAutospacing="0"/>
        <w:jc w:val="both"/>
        <w:textAlignment w:val="baseline"/>
        <w:rPr>
          <w:b w:val="0"/>
          <w:bCs w:val="0"/>
          <w:sz w:val="24"/>
          <w:szCs w:val="24"/>
        </w:rPr>
      </w:pPr>
    </w:p>
    <w:p w14:paraId="19776B12" w14:textId="77777777" w:rsidR="0076582D" w:rsidRPr="0076582D" w:rsidRDefault="0076582D" w:rsidP="0076582D">
      <w:pPr>
        <w:suppressAutoHyphens/>
        <w:spacing w:after="0" w:line="240" w:lineRule="auto"/>
        <w:jc w:val="center"/>
        <w:rPr>
          <w:rFonts w:ascii="Times New Roman" w:hAnsi="Times New Roman" w:cs="Times New Roman"/>
          <w:b/>
          <w:sz w:val="24"/>
          <w:szCs w:val="24"/>
        </w:rPr>
      </w:pPr>
      <w:bookmarkStart w:id="0" w:name="_Hlk175217186"/>
      <w:bookmarkStart w:id="1" w:name="_Hlk204248043"/>
      <w:r w:rsidRPr="0076582D">
        <w:rPr>
          <w:rFonts w:ascii="Times New Roman" w:hAnsi="Times New Roman" w:cs="Times New Roman"/>
          <w:b/>
          <w:sz w:val="24"/>
          <w:szCs w:val="24"/>
        </w:rPr>
        <w:t>ТЕХНІЧНІ ВИМОГИ</w:t>
      </w:r>
    </w:p>
    <w:p w14:paraId="1553520E" w14:textId="77777777" w:rsidR="0076582D" w:rsidRPr="0076582D" w:rsidRDefault="0076582D" w:rsidP="0076582D">
      <w:pPr>
        <w:suppressAutoHyphens/>
        <w:spacing w:after="0" w:line="240" w:lineRule="auto"/>
        <w:jc w:val="center"/>
        <w:rPr>
          <w:rFonts w:ascii="Times New Roman" w:hAnsi="Times New Roman" w:cs="Times New Roman"/>
          <w:b/>
          <w:bCs/>
          <w:sz w:val="24"/>
          <w:szCs w:val="24"/>
        </w:rPr>
      </w:pPr>
    </w:p>
    <w:tbl>
      <w:tblPr>
        <w:tblStyle w:val="110"/>
        <w:tblW w:w="9640" w:type="dxa"/>
        <w:tblInd w:w="-5" w:type="dxa"/>
        <w:tblLayout w:type="fixed"/>
        <w:tblLook w:val="04A0" w:firstRow="1" w:lastRow="0" w:firstColumn="1" w:lastColumn="0" w:noHBand="0" w:noVBand="1"/>
      </w:tblPr>
      <w:tblGrid>
        <w:gridCol w:w="561"/>
        <w:gridCol w:w="5676"/>
        <w:gridCol w:w="1699"/>
        <w:gridCol w:w="1704"/>
      </w:tblGrid>
      <w:tr w:rsidR="0076582D" w:rsidRPr="0076582D" w14:paraId="645B436D" w14:textId="77777777" w:rsidTr="00ED4165">
        <w:tc>
          <w:tcPr>
            <w:tcW w:w="561" w:type="dxa"/>
          </w:tcPr>
          <w:p w14:paraId="387FA5A0" w14:textId="77777777" w:rsidR="0076582D" w:rsidRPr="0076582D" w:rsidRDefault="0076582D" w:rsidP="0076582D">
            <w:pPr>
              <w:jc w:val="center"/>
              <w:rPr>
                <w:rFonts w:ascii="Times New Roman" w:hAnsi="Times New Roman" w:cs="Times New Roman"/>
                <w:b/>
                <w:bCs/>
                <w:lang w:eastAsia="uk-UA"/>
              </w:rPr>
            </w:pPr>
            <w:r w:rsidRPr="0076582D">
              <w:rPr>
                <w:rFonts w:ascii="Times New Roman" w:hAnsi="Times New Roman" w:cs="Times New Roman"/>
                <w:b/>
                <w:bCs/>
                <w:kern w:val="2"/>
                <w:lang w:eastAsia="uk-UA"/>
              </w:rPr>
              <w:t>№ п/п</w:t>
            </w:r>
          </w:p>
        </w:tc>
        <w:tc>
          <w:tcPr>
            <w:tcW w:w="5676" w:type="dxa"/>
          </w:tcPr>
          <w:p w14:paraId="1401A9FE" w14:textId="77777777" w:rsidR="0076582D" w:rsidRPr="0076582D" w:rsidRDefault="0076582D" w:rsidP="0076582D">
            <w:pPr>
              <w:jc w:val="center"/>
              <w:rPr>
                <w:rFonts w:ascii="Times New Roman" w:hAnsi="Times New Roman" w:cs="Times New Roman"/>
                <w:b/>
                <w:bCs/>
                <w:lang w:eastAsia="uk-UA"/>
              </w:rPr>
            </w:pPr>
            <w:r w:rsidRPr="0076582D">
              <w:rPr>
                <w:rFonts w:ascii="Times New Roman" w:hAnsi="Times New Roman" w:cs="Times New Roman"/>
                <w:b/>
                <w:bCs/>
                <w:kern w:val="2"/>
                <w:lang w:eastAsia="uk-UA"/>
              </w:rPr>
              <w:t>Назва системи</w:t>
            </w:r>
          </w:p>
        </w:tc>
        <w:tc>
          <w:tcPr>
            <w:tcW w:w="1699" w:type="dxa"/>
          </w:tcPr>
          <w:p w14:paraId="1EE337F6" w14:textId="77777777" w:rsidR="0076582D" w:rsidRPr="0076582D" w:rsidRDefault="0076582D" w:rsidP="0076582D">
            <w:pPr>
              <w:jc w:val="center"/>
              <w:rPr>
                <w:rFonts w:ascii="Times New Roman" w:hAnsi="Times New Roman" w:cs="Times New Roman"/>
                <w:b/>
                <w:bCs/>
                <w:lang w:eastAsia="uk-UA"/>
              </w:rPr>
            </w:pPr>
            <w:r w:rsidRPr="0076582D">
              <w:rPr>
                <w:rFonts w:ascii="Times New Roman" w:hAnsi="Times New Roman" w:cs="Times New Roman"/>
                <w:b/>
                <w:bCs/>
                <w:kern w:val="2"/>
                <w:lang w:eastAsia="uk-UA"/>
              </w:rPr>
              <w:t>Одиниця виміру</w:t>
            </w:r>
          </w:p>
        </w:tc>
        <w:tc>
          <w:tcPr>
            <w:tcW w:w="1704" w:type="dxa"/>
          </w:tcPr>
          <w:p w14:paraId="0DE6A52C" w14:textId="77777777" w:rsidR="0076582D" w:rsidRPr="0076582D" w:rsidRDefault="0076582D" w:rsidP="0076582D">
            <w:pPr>
              <w:jc w:val="center"/>
              <w:rPr>
                <w:rFonts w:ascii="Times New Roman" w:hAnsi="Times New Roman" w:cs="Times New Roman"/>
                <w:b/>
                <w:bCs/>
                <w:lang w:eastAsia="uk-UA"/>
              </w:rPr>
            </w:pPr>
            <w:r w:rsidRPr="0076582D">
              <w:rPr>
                <w:rFonts w:ascii="Times New Roman" w:hAnsi="Times New Roman" w:cs="Times New Roman"/>
                <w:b/>
                <w:bCs/>
                <w:kern w:val="2"/>
                <w:lang w:eastAsia="uk-UA"/>
              </w:rPr>
              <w:t>Кількість</w:t>
            </w:r>
          </w:p>
        </w:tc>
      </w:tr>
      <w:tr w:rsidR="0076582D" w:rsidRPr="0076582D" w14:paraId="2196C46B" w14:textId="77777777" w:rsidTr="00ED4165">
        <w:tc>
          <w:tcPr>
            <w:tcW w:w="561" w:type="dxa"/>
            <w:vAlign w:val="center"/>
          </w:tcPr>
          <w:p w14:paraId="1C36A084" w14:textId="77777777" w:rsidR="0076582D" w:rsidRPr="0076582D" w:rsidRDefault="0076582D" w:rsidP="0076582D">
            <w:pPr>
              <w:jc w:val="center"/>
              <w:rPr>
                <w:rFonts w:ascii="Times New Roman" w:hAnsi="Times New Roman" w:cs="Times New Roman"/>
                <w:b/>
                <w:bCs/>
                <w:lang w:eastAsia="uk-UA"/>
              </w:rPr>
            </w:pPr>
            <w:r w:rsidRPr="0076582D">
              <w:rPr>
                <w:rFonts w:ascii="Times New Roman" w:hAnsi="Times New Roman" w:cs="Times New Roman"/>
                <w:b/>
                <w:bCs/>
                <w:kern w:val="2"/>
              </w:rPr>
              <w:t>1</w:t>
            </w:r>
          </w:p>
        </w:tc>
        <w:tc>
          <w:tcPr>
            <w:tcW w:w="5676" w:type="dxa"/>
          </w:tcPr>
          <w:p w14:paraId="76B89B5A" w14:textId="77777777" w:rsidR="0076582D" w:rsidRPr="0076582D" w:rsidRDefault="0076582D" w:rsidP="0076582D">
            <w:pPr>
              <w:jc w:val="both"/>
              <w:rPr>
                <w:rFonts w:ascii="Times New Roman" w:hAnsi="Times New Roman" w:cs="Times New Roman"/>
                <w:b/>
                <w:bCs/>
              </w:rPr>
            </w:pPr>
            <w:proofErr w:type="spellStart"/>
            <w:r w:rsidRPr="0076582D">
              <w:rPr>
                <w:rFonts w:ascii="Times New Roman" w:hAnsi="Times New Roman" w:cs="Times New Roman"/>
                <w:b/>
                <w:bCs/>
                <w:kern w:val="2"/>
              </w:rPr>
              <w:t>Протиожеледний</w:t>
            </w:r>
            <w:proofErr w:type="spellEnd"/>
            <w:r w:rsidRPr="0076582D">
              <w:rPr>
                <w:rFonts w:ascii="Times New Roman" w:hAnsi="Times New Roman" w:cs="Times New Roman"/>
                <w:b/>
                <w:bCs/>
                <w:kern w:val="2"/>
              </w:rPr>
              <w:t xml:space="preserve"> екологічний реагент для доріг</w:t>
            </w:r>
          </w:p>
        </w:tc>
        <w:tc>
          <w:tcPr>
            <w:tcW w:w="1699" w:type="dxa"/>
            <w:vAlign w:val="center"/>
          </w:tcPr>
          <w:p w14:paraId="232CBCC4" w14:textId="77777777" w:rsidR="0076582D" w:rsidRPr="0076582D" w:rsidRDefault="0076582D" w:rsidP="0076582D">
            <w:pPr>
              <w:jc w:val="center"/>
              <w:rPr>
                <w:rFonts w:ascii="Times New Roman" w:hAnsi="Times New Roman" w:cs="Times New Roman"/>
                <w:b/>
                <w:bCs/>
                <w:lang w:eastAsia="uk-UA"/>
              </w:rPr>
            </w:pPr>
            <w:r w:rsidRPr="0076582D">
              <w:rPr>
                <w:rFonts w:ascii="Times New Roman" w:hAnsi="Times New Roman" w:cs="Times New Roman"/>
                <w:b/>
                <w:bCs/>
                <w:kern w:val="2"/>
                <w:lang w:eastAsia="uk-UA"/>
              </w:rPr>
              <w:t>л.</w:t>
            </w:r>
          </w:p>
        </w:tc>
        <w:tc>
          <w:tcPr>
            <w:tcW w:w="1704" w:type="dxa"/>
            <w:vAlign w:val="center"/>
          </w:tcPr>
          <w:p w14:paraId="0652626E" w14:textId="77777777" w:rsidR="0076582D" w:rsidRPr="0076582D" w:rsidRDefault="0076582D" w:rsidP="0076582D">
            <w:pPr>
              <w:jc w:val="center"/>
              <w:rPr>
                <w:rFonts w:ascii="Times New Roman" w:hAnsi="Times New Roman" w:cs="Times New Roman"/>
                <w:b/>
                <w:bCs/>
                <w:lang w:eastAsia="uk-UA"/>
              </w:rPr>
            </w:pPr>
            <w:bookmarkStart w:id="2" w:name="_Hlk173497941"/>
            <w:bookmarkEnd w:id="2"/>
            <w:r w:rsidRPr="0076582D">
              <w:rPr>
                <w:rFonts w:ascii="Times New Roman" w:hAnsi="Times New Roman" w:cs="Times New Roman"/>
                <w:b/>
                <w:bCs/>
                <w:kern w:val="2"/>
                <w:lang w:eastAsia="uk-UA"/>
              </w:rPr>
              <w:t>1000</w:t>
            </w:r>
          </w:p>
        </w:tc>
      </w:tr>
    </w:tbl>
    <w:p w14:paraId="2FFA0807" w14:textId="77777777" w:rsidR="0076582D" w:rsidRPr="0076582D" w:rsidRDefault="0076582D" w:rsidP="0076582D">
      <w:pPr>
        <w:suppressAutoHyphens/>
        <w:spacing w:after="0" w:line="240" w:lineRule="auto"/>
        <w:jc w:val="center"/>
        <w:rPr>
          <w:rFonts w:ascii="Times New Roman" w:hAnsi="Times New Roman" w:cs="Times New Roman"/>
          <w:b/>
          <w:bCs/>
          <w:sz w:val="24"/>
          <w:szCs w:val="24"/>
        </w:rPr>
      </w:pPr>
    </w:p>
    <w:p w14:paraId="2612AF24" w14:textId="77777777" w:rsidR="0076582D" w:rsidRPr="0076582D" w:rsidRDefault="0076582D" w:rsidP="0076582D">
      <w:pPr>
        <w:suppressAutoHyphens/>
        <w:spacing w:after="0" w:line="240" w:lineRule="auto"/>
        <w:jc w:val="both"/>
        <w:rPr>
          <w:rFonts w:ascii="Times New Roman" w:eastAsia="Aptos" w:hAnsi="Times New Roman" w:cs="Times New Roman"/>
          <w:b/>
          <w:bCs/>
          <w:i/>
          <w:iCs/>
          <w:color w:val="000000"/>
          <w:kern w:val="2"/>
          <w:sz w:val="24"/>
          <w:szCs w:val="24"/>
          <w14:ligatures w14:val="standardContextual"/>
        </w:rPr>
      </w:pPr>
      <w:r w:rsidRPr="0076582D">
        <w:rPr>
          <w:rFonts w:ascii="Times New Roman" w:eastAsia="Aptos" w:hAnsi="Times New Roman" w:cs="Times New Roman"/>
          <w:b/>
          <w:bCs/>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Договору до моменту його повного завершення, доставка Товару, розвантаження.</w:t>
      </w:r>
    </w:p>
    <w:p w14:paraId="35D5AD34" w14:textId="77777777" w:rsidR="0076582D" w:rsidRPr="0076582D" w:rsidRDefault="0076582D" w:rsidP="0076582D">
      <w:pPr>
        <w:suppressAutoHyphens/>
        <w:spacing w:after="0" w:line="240" w:lineRule="auto"/>
        <w:jc w:val="both"/>
        <w:rPr>
          <w:rFonts w:ascii="Times New Roman" w:eastAsia="Aptos" w:hAnsi="Times New Roman" w:cs="Times New Roman"/>
          <w:b/>
          <w:bCs/>
          <w:i/>
          <w:iCs/>
          <w:color w:val="000000"/>
          <w:kern w:val="2"/>
          <w:sz w:val="24"/>
          <w:szCs w:val="24"/>
          <w14:ligatures w14:val="standardContextual"/>
        </w:rPr>
      </w:pPr>
    </w:p>
    <w:p w14:paraId="61627569" w14:textId="77777777" w:rsidR="0076582D" w:rsidRPr="0076582D" w:rsidRDefault="0076582D" w:rsidP="0076582D">
      <w:pPr>
        <w:suppressAutoHyphens/>
        <w:spacing w:after="0" w:line="240" w:lineRule="auto"/>
        <w:ind w:firstLine="567"/>
        <w:jc w:val="center"/>
        <w:rPr>
          <w:rFonts w:ascii="Times New Roman" w:eastAsia="Aptos" w:hAnsi="Times New Roman" w:cs="Times New Roman"/>
          <w:b/>
          <w:bCs/>
          <w:color w:val="000000"/>
          <w:kern w:val="2"/>
          <w:sz w:val="24"/>
          <w:szCs w:val="24"/>
          <w14:ligatures w14:val="standardContextual"/>
        </w:rPr>
      </w:pPr>
      <w:bookmarkStart w:id="3" w:name="_Hlk214523107"/>
      <w:bookmarkStart w:id="4" w:name="_Hlk204248034"/>
      <w:bookmarkStart w:id="5" w:name="_Hlk204247675"/>
      <w:bookmarkStart w:id="6" w:name="_Hlk214374526"/>
      <w:bookmarkEnd w:id="3"/>
      <w:bookmarkEnd w:id="4"/>
      <w:r w:rsidRPr="0076582D">
        <w:rPr>
          <w:rFonts w:ascii="Times New Roman" w:eastAsia="Aptos" w:hAnsi="Times New Roman" w:cs="Times New Roman"/>
          <w:b/>
          <w:bCs/>
          <w:color w:val="000000"/>
          <w:kern w:val="2"/>
          <w:sz w:val="24"/>
          <w:szCs w:val="24"/>
          <w14:ligatures w14:val="standardContextual"/>
        </w:rPr>
        <w:t xml:space="preserve">Специфікація товару </w:t>
      </w:r>
      <w:bookmarkEnd w:id="5"/>
      <w:bookmarkEnd w:id="6"/>
    </w:p>
    <w:tbl>
      <w:tblPr>
        <w:tblW w:w="9776" w:type="dxa"/>
        <w:tblLayout w:type="fixed"/>
        <w:tblLook w:val="0000" w:firstRow="0" w:lastRow="0" w:firstColumn="0" w:lastColumn="0" w:noHBand="0" w:noVBand="0"/>
      </w:tblPr>
      <w:tblGrid>
        <w:gridCol w:w="4531"/>
        <w:gridCol w:w="5245"/>
      </w:tblGrid>
      <w:tr w:rsidR="0076582D" w:rsidRPr="0076582D" w14:paraId="265E01BF" w14:textId="77777777" w:rsidTr="00ED4165">
        <w:trPr>
          <w:trHeight w:val="149"/>
        </w:trPr>
        <w:tc>
          <w:tcPr>
            <w:tcW w:w="4531" w:type="dxa"/>
            <w:tcBorders>
              <w:top w:val="single" w:sz="4" w:space="0" w:color="000000"/>
              <w:left w:val="single" w:sz="4" w:space="0" w:color="000000"/>
              <w:bottom w:val="single" w:sz="4" w:space="0" w:color="000000"/>
              <w:right w:val="single" w:sz="4" w:space="0" w:color="000000"/>
            </w:tcBorders>
            <w:vAlign w:val="center"/>
          </w:tcPr>
          <w:p w14:paraId="193F2EF7" w14:textId="77777777" w:rsidR="0076582D" w:rsidRPr="0076582D" w:rsidRDefault="0076582D" w:rsidP="0076582D">
            <w:pPr>
              <w:suppressAutoHyphens/>
              <w:spacing w:after="0" w:line="240" w:lineRule="auto"/>
              <w:jc w:val="center"/>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Найменування параметрів</w:t>
            </w:r>
          </w:p>
        </w:tc>
        <w:tc>
          <w:tcPr>
            <w:tcW w:w="5245" w:type="dxa"/>
            <w:tcBorders>
              <w:top w:val="single" w:sz="4" w:space="0" w:color="000000"/>
              <w:left w:val="single" w:sz="4" w:space="0" w:color="000000"/>
              <w:bottom w:val="single" w:sz="4" w:space="0" w:color="000000"/>
              <w:right w:val="single" w:sz="4" w:space="0" w:color="000000"/>
            </w:tcBorders>
            <w:vAlign w:val="center"/>
          </w:tcPr>
          <w:p w14:paraId="27F969D6" w14:textId="77777777" w:rsidR="0076582D" w:rsidRPr="0076582D" w:rsidRDefault="0076582D" w:rsidP="0076582D">
            <w:pPr>
              <w:suppressAutoHyphens/>
              <w:spacing w:after="0" w:line="240" w:lineRule="auto"/>
              <w:jc w:val="center"/>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Значення</w:t>
            </w:r>
          </w:p>
        </w:tc>
      </w:tr>
      <w:tr w:rsidR="0076582D" w:rsidRPr="0076582D" w14:paraId="2CC0EE70" w14:textId="77777777" w:rsidTr="00ED4165">
        <w:tc>
          <w:tcPr>
            <w:tcW w:w="4531" w:type="dxa"/>
            <w:tcBorders>
              <w:top w:val="single" w:sz="4" w:space="0" w:color="000000"/>
              <w:left w:val="single" w:sz="4" w:space="0" w:color="000000"/>
              <w:bottom w:val="single" w:sz="4" w:space="0" w:color="000000"/>
              <w:right w:val="single" w:sz="4" w:space="0" w:color="000000"/>
            </w:tcBorders>
            <w:vAlign w:val="center"/>
          </w:tcPr>
          <w:p w14:paraId="7F75CF67"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 xml:space="preserve">Тип </w:t>
            </w:r>
          </w:p>
        </w:tc>
        <w:tc>
          <w:tcPr>
            <w:tcW w:w="5245" w:type="dxa"/>
            <w:tcBorders>
              <w:top w:val="single" w:sz="4" w:space="0" w:color="000000"/>
              <w:left w:val="single" w:sz="4" w:space="0" w:color="000000"/>
              <w:bottom w:val="single" w:sz="4" w:space="0" w:color="000000"/>
              <w:right w:val="single" w:sz="4" w:space="0" w:color="000000"/>
            </w:tcBorders>
            <w:vAlign w:val="center"/>
          </w:tcPr>
          <w:p w14:paraId="65A2AC82"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proofErr w:type="spellStart"/>
            <w:r w:rsidRPr="0076582D">
              <w:rPr>
                <w:rFonts w:ascii="Times New Roman" w:eastAsia="Calibri" w:hAnsi="Times New Roman" w:cs="Times New Roman"/>
                <w:bCs/>
                <w:sz w:val="24"/>
                <w:szCs w:val="24"/>
                <w:lang w:eastAsia="uk-UA"/>
              </w:rPr>
              <w:t>Протиожеледний</w:t>
            </w:r>
            <w:proofErr w:type="spellEnd"/>
            <w:r w:rsidRPr="0076582D">
              <w:rPr>
                <w:rFonts w:ascii="Times New Roman" w:eastAsia="Calibri" w:hAnsi="Times New Roman" w:cs="Times New Roman"/>
                <w:bCs/>
                <w:sz w:val="24"/>
                <w:szCs w:val="24"/>
                <w:lang w:eastAsia="uk-UA"/>
              </w:rPr>
              <w:t xml:space="preserve"> реагент</w:t>
            </w:r>
          </w:p>
        </w:tc>
      </w:tr>
      <w:tr w:rsidR="0076582D" w:rsidRPr="0076582D" w14:paraId="0324686C" w14:textId="77777777" w:rsidTr="00ED4165">
        <w:tc>
          <w:tcPr>
            <w:tcW w:w="4531" w:type="dxa"/>
            <w:tcBorders>
              <w:top w:val="single" w:sz="4" w:space="0" w:color="000000"/>
              <w:left w:val="single" w:sz="4" w:space="0" w:color="000000"/>
              <w:bottom w:val="single" w:sz="4" w:space="0" w:color="000000"/>
              <w:right w:val="single" w:sz="4" w:space="0" w:color="000000"/>
            </w:tcBorders>
            <w:vAlign w:val="center"/>
          </w:tcPr>
          <w:p w14:paraId="00881828"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Стан товару</w:t>
            </w:r>
          </w:p>
        </w:tc>
        <w:tc>
          <w:tcPr>
            <w:tcW w:w="5245" w:type="dxa"/>
            <w:tcBorders>
              <w:top w:val="single" w:sz="4" w:space="0" w:color="000000"/>
              <w:left w:val="single" w:sz="4" w:space="0" w:color="000000"/>
              <w:bottom w:val="single" w:sz="4" w:space="0" w:color="000000"/>
              <w:right w:val="single" w:sz="4" w:space="0" w:color="000000"/>
            </w:tcBorders>
            <w:vAlign w:val="center"/>
          </w:tcPr>
          <w:p w14:paraId="0013655E"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Рідина (розчин)</w:t>
            </w:r>
          </w:p>
        </w:tc>
      </w:tr>
      <w:tr w:rsidR="0076582D" w:rsidRPr="0076582D" w14:paraId="72399CA6" w14:textId="77777777" w:rsidTr="00ED4165">
        <w:tc>
          <w:tcPr>
            <w:tcW w:w="4531" w:type="dxa"/>
            <w:tcBorders>
              <w:top w:val="single" w:sz="4" w:space="0" w:color="000000"/>
              <w:left w:val="single" w:sz="4" w:space="0" w:color="000000"/>
              <w:bottom w:val="single" w:sz="4" w:space="0" w:color="000000"/>
              <w:right w:val="single" w:sz="4" w:space="0" w:color="000000"/>
            </w:tcBorders>
            <w:vAlign w:val="center"/>
          </w:tcPr>
          <w:p w14:paraId="26C6A8B9"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Об’єм тари, л.</w:t>
            </w:r>
          </w:p>
        </w:tc>
        <w:tc>
          <w:tcPr>
            <w:tcW w:w="5245" w:type="dxa"/>
            <w:tcBorders>
              <w:top w:val="single" w:sz="4" w:space="0" w:color="000000"/>
              <w:left w:val="single" w:sz="4" w:space="0" w:color="000000"/>
              <w:bottom w:val="single" w:sz="4" w:space="0" w:color="000000"/>
              <w:right w:val="single" w:sz="4" w:space="0" w:color="000000"/>
            </w:tcBorders>
            <w:vAlign w:val="center"/>
          </w:tcPr>
          <w:p w14:paraId="2E439861"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1300 л ± 5 л.</w:t>
            </w:r>
          </w:p>
        </w:tc>
      </w:tr>
      <w:tr w:rsidR="0076582D" w:rsidRPr="0076582D" w14:paraId="1936571F"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273B7D39"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 xml:space="preserve">Питома </w:t>
            </w:r>
            <w:proofErr w:type="spellStart"/>
            <w:r w:rsidRPr="0076582D">
              <w:rPr>
                <w:rFonts w:ascii="Times New Roman" w:eastAsia="Calibri" w:hAnsi="Times New Roman" w:cs="Times New Roman"/>
                <w:bCs/>
                <w:sz w:val="24"/>
                <w:szCs w:val="24"/>
                <w:lang w:eastAsia="uk-UA"/>
              </w:rPr>
              <w:t>вага,кг</w:t>
            </w:r>
            <w:proofErr w:type="spellEnd"/>
            <w:r w:rsidRPr="0076582D">
              <w:rPr>
                <w:rFonts w:ascii="Times New Roman" w:eastAsia="Calibri" w:hAnsi="Times New Roman" w:cs="Times New Roman"/>
                <w:bCs/>
                <w:sz w:val="24"/>
                <w:szCs w:val="24"/>
                <w:lang w:eastAsia="uk-UA"/>
              </w:rPr>
              <w:t>/л</w:t>
            </w:r>
          </w:p>
        </w:tc>
        <w:tc>
          <w:tcPr>
            <w:tcW w:w="5245" w:type="dxa"/>
            <w:tcBorders>
              <w:top w:val="single" w:sz="4" w:space="0" w:color="000000"/>
              <w:left w:val="single" w:sz="4" w:space="0" w:color="000000"/>
              <w:bottom w:val="single" w:sz="4" w:space="0" w:color="000000"/>
              <w:right w:val="single" w:sz="4" w:space="0" w:color="000000"/>
            </w:tcBorders>
            <w:vAlign w:val="center"/>
          </w:tcPr>
          <w:p w14:paraId="303FC35B"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31/12/74</w:t>
            </w:r>
          </w:p>
        </w:tc>
      </w:tr>
      <w:tr w:rsidR="0076582D" w:rsidRPr="0076582D" w14:paraId="422C07D0"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54B90AAA"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Витрати при робочій температурі -5°С</w:t>
            </w:r>
          </w:p>
        </w:tc>
        <w:tc>
          <w:tcPr>
            <w:tcW w:w="5245" w:type="dxa"/>
            <w:tcBorders>
              <w:top w:val="single" w:sz="4" w:space="0" w:color="000000"/>
              <w:left w:val="single" w:sz="4" w:space="0" w:color="000000"/>
              <w:bottom w:val="single" w:sz="4" w:space="0" w:color="000000"/>
              <w:right w:val="single" w:sz="4" w:space="0" w:color="000000"/>
            </w:tcBorders>
            <w:vAlign w:val="center"/>
          </w:tcPr>
          <w:p w14:paraId="59DB03C2"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 xml:space="preserve">70 мл/м </w:t>
            </w:r>
            <w:proofErr w:type="spellStart"/>
            <w:r w:rsidRPr="0076582D">
              <w:rPr>
                <w:rFonts w:ascii="Times New Roman" w:eastAsia="Calibri" w:hAnsi="Times New Roman" w:cs="Times New Roman"/>
                <w:bCs/>
                <w:sz w:val="24"/>
                <w:szCs w:val="24"/>
                <w:lang w:eastAsia="uk-UA"/>
              </w:rPr>
              <w:t>кв</w:t>
            </w:r>
            <w:proofErr w:type="spellEnd"/>
            <w:r w:rsidRPr="0076582D">
              <w:rPr>
                <w:rFonts w:ascii="Times New Roman" w:eastAsia="Calibri" w:hAnsi="Times New Roman" w:cs="Times New Roman"/>
                <w:bCs/>
                <w:sz w:val="24"/>
                <w:szCs w:val="24"/>
                <w:lang w:eastAsia="uk-UA"/>
              </w:rPr>
              <w:t xml:space="preserve"> товщина шару 5-7 мм</w:t>
            </w:r>
          </w:p>
        </w:tc>
      </w:tr>
      <w:tr w:rsidR="0076582D" w:rsidRPr="0076582D" w14:paraId="51466059" w14:textId="77777777" w:rsidTr="00ED4165">
        <w:trPr>
          <w:trHeight w:val="230"/>
        </w:trPr>
        <w:tc>
          <w:tcPr>
            <w:tcW w:w="4531" w:type="dxa"/>
            <w:tcBorders>
              <w:top w:val="single" w:sz="6" w:space="0" w:color="000000"/>
              <w:left w:val="single" w:sz="6" w:space="0" w:color="000000"/>
              <w:bottom w:val="single" w:sz="6" w:space="0" w:color="000000"/>
              <w:right w:val="single" w:sz="6" w:space="0" w:color="000000"/>
            </w:tcBorders>
            <w:tcMar>
              <w:top w:w="40" w:type="dxa"/>
              <w:left w:w="120" w:type="dxa"/>
              <w:bottom w:w="40" w:type="dxa"/>
              <w:right w:w="120" w:type="dxa"/>
            </w:tcMar>
            <w:vAlign w:val="center"/>
          </w:tcPr>
          <w:p w14:paraId="2E348457"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Витрати при робочий температурі -10°С</w:t>
            </w:r>
          </w:p>
        </w:tc>
        <w:tc>
          <w:tcPr>
            <w:tcW w:w="5245" w:type="dxa"/>
            <w:tcBorders>
              <w:top w:val="single" w:sz="4" w:space="0" w:color="000000"/>
              <w:left w:val="single" w:sz="4" w:space="0" w:color="000000"/>
              <w:bottom w:val="single" w:sz="4" w:space="0" w:color="000000"/>
              <w:right w:val="single" w:sz="4" w:space="0" w:color="000000"/>
            </w:tcBorders>
            <w:vAlign w:val="center"/>
          </w:tcPr>
          <w:p w14:paraId="2FC5C5EA"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 xml:space="preserve">110 мл/м </w:t>
            </w:r>
            <w:proofErr w:type="spellStart"/>
            <w:r w:rsidRPr="0076582D">
              <w:rPr>
                <w:rFonts w:ascii="Times New Roman" w:eastAsia="Calibri" w:hAnsi="Times New Roman" w:cs="Times New Roman"/>
                <w:bCs/>
                <w:sz w:val="24"/>
                <w:szCs w:val="24"/>
                <w:lang w:eastAsia="uk-UA"/>
              </w:rPr>
              <w:t>кв</w:t>
            </w:r>
            <w:proofErr w:type="spellEnd"/>
            <w:r w:rsidRPr="0076582D">
              <w:rPr>
                <w:rFonts w:ascii="Times New Roman" w:eastAsia="Calibri" w:hAnsi="Times New Roman" w:cs="Times New Roman"/>
                <w:bCs/>
                <w:sz w:val="24"/>
                <w:szCs w:val="24"/>
                <w:lang w:eastAsia="uk-UA"/>
              </w:rPr>
              <w:t xml:space="preserve"> товщина шару 5-7 мм</w:t>
            </w:r>
          </w:p>
        </w:tc>
      </w:tr>
      <w:tr w:rsidR="0076582D" w:rsidRPr="0076582D" w14:paraId="02C3346D"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13EB14F8"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Витрати при робочий температурі -15°С</w:t>
            </w:r>
          </w:p>
        </w:tc>
        <w:tc>
          <w:tcPr>
            <w:tcW w:w="5245" w:type="dxa"/>
            <w:tcBorders>
              <w:top w:val="single" w:sz="4" w:space="0" w:color="000000"/>
              <w:left w:val="single" w:sz="4" w:space="0" w:color="000000"/>
              <w:bottom w:val="single" w:sz="4" w:space="0" w:color="000000"/>
              <w:right w:val="single" w:sz="4" w:space="0" w:color="000000"/>
            </w:tcBorders>
            <w:vAlign w:val="center"/>
          </w:tcPr>
          <w:p w14:paraId="3C903161"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 xml:space="preserve">150 мл/м </w:t>
            </w:r>
            <w:proofErr w:type="spellStart"/>
            <w:r w:rsidRPr="0076582D">
              <w:rPr>
                <w:rFonts w:ascii="Times New Roman" w:eastAsia="Calibri" w:hAnsi="Times New Roman" w:cs="Times New Roman"/>
                <w:bCs/>
                <w:sz w:val="24"/>
                <w:szCs w:val="24"/>
                <w:lang w:eastAsia="uk-UA"/>
              </w:rPr>
              <w:t>кв</w:t>
            </w:r>
            <w:proofErr w:type="spellEnd"/>
            <w:r w:rsidRPr="0076582D">
              <w:rPr>
                <w:rFonts w:ascii="Times New Roman" w:eastAsia="Calibri" w:hAnsi="Times New Roman" w:cs="Times New Roman"/>
                <w:bCs/>
                <w:sz w:val="24"/>
                <w:szCs w:val="24"/>
                <w:lang w:eastAsia="uk-UA"/>
              </w:rPr>
              <w:t xml:space="preserve"> товщина шару 5-7 мм</w:t>
            </w:r>
          </w:p>
        </w:tc>
      </w:tr>
      <w:tr w:rsidR="0076582D" w:rsidRPr="0076582D" w14:paraId="31530EC1"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15BEF971"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Витрати при робочий температурі -20°С</w:t>
            </w:r>
          </w:p>
        </w:tc>
        <w:tc>
          <w:tcPr>
            <w:tcW w:w="5245" w:type="dxa"/>
            <w:tcBorders>
              <w:top w:val="single" w:sz="4" w:space="0" w:color="000000"/>
              <w:left w:val="single" w:sz="4" w:space="0" w:color="000000"/>
              <w:bottom w:val="single" w:sz="4" w:space="0" w:color="000000"/>
              <w:right w:val="single" w:sz="4" w:space="0" w:color="000000"/>
            </w:tcBorders>
            <w:vAlign w:val="center"/>
          </w:tcPr>
          <w:p w14:paraId="5A740E3D"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 xml:space="preserve">180 мл/м </w:t>
            </w:r>
            <w:proofErr w:type="spellStart"/>
            <w:r w:rsidRPr="0076582D">
              <w:rPr>
                <w:rFonts w:ascii="Times New Roman" w:eastAsia="Calibri" w:hAnsi="Times New Roman" w:cs="Times New Roman"/>
                <w:bCs/>
                <w:sz w:val="24"/>
                <w:szCs w:val="24"/>
                <w:lang w:eastAsia="uk-UA"/>
              </w:rPr>
              <w:t>кв</w:t>
            </w:r>
            <w:proofErr w:type="spellEnd"/>
            <w:r w:rsidRPr="0076582D">
              <w:rPr>
                <w:rFonts w:ascii="Times New Roman" w:eastAsia="Calibri" w:hAnsi="Times New Roman" w:cs="Times New Roman"/>
                <w:bCs/>
                <w:sz w:val="24"/>
                <w:szCs w:val="24"/>
                <w:lang w:eastAsia="uk-UA"/>
              </w:rPr>
              <w:t xml:space="preserve"> товщина шару 5-7 мм</w:t>
            </w:r>
          </w:p>
        </w:tc>
      </w:tr>
      <w:tr w:rsidR="0076582D" w:rsidRPr="0076582D" w14:paraId="498EB168"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5A69DEB9"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Витрати при робочий температурі -25°С</w:t>
            </w:r>
          </w:p>
        </w:tc>
        <w:tc>
          <w:tcPr>
            <w:tcW w:w="5245" w:type="dxa"/>
            <w:tcBorders>
              <w:top w:val="single" w:sz="4" w:space="0" w:color="000000"/>
              <w:left w:val="single" w:sz="4" w:space="0" w:color="000000"/>
              <w:bottom w:val="single" w:sz="4" w:space="0" w:color="000000"/>
              <w:right w:val="single" w:sz="4" w:space="0" w:color="000000"/>
            </w:tcBorders>
            <w:vAlign w:val="center"/>
          </w:tcPr>
          <w:p w14:paraId="2A924C87"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 xml:space="preserve">300 мл/м </w:t>
            </w:r>
            <w:proofErr w:type="spellStart"/>
            <w:r w:rsidRPr="0076582D">
              <w:rPr>
                <w:rFonts w:ascii="Times New Roman" w:eastAsia="Calibri" w:hAnsi="Times New Roman" w:cs="Times New Roman"/>
                <w:bCs/>
                <w:sz w:val="24"/>
                <w:szCs w:val="24"/>
                <w:lang w:eastAsia="uk-UA"/>
              </w:rPr>
              <w:t>кв</w:t>
            </w:r>
            <w:proofErr w:type="spellEnd"/>
            <w:r w:rsidRPr="0076582D">
              <w:rPr>
                <w:rFonts w:ascii="Times New Roman" w:eastAsia="Calibri" w:hAnsi="Times New Roman" w:cs="Times New Roman"/>
                <w:bCs/>
                <w:sz w:val="24"/>
                <w:szCs w:val="24"/>
                <w:lang w:eastAsia="uk-UA"/>
              </w:rPr>
              <w:t xml:space="preserve"> товщина шару 5-7 мм</w:t>
            </w:r>
          </w:p>
        </w:tc>
      </w:tr>
      <w:tr w:rsidR="0076582D" w:rsidRPr="0076582D" w14:paraId="39837170"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0238BEDF"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Рекомендована площа</w:t>
            </w:r>
          </w:p>
        </w:tc>
        <w:tc>
          <w:tcPr>
            <w:tcW w:w="5245" w:type="dxa"/>
            <w:tcBorders>
              <w:top w:val="single" w:sz="4" w:space="0" w:color="000000"/>
              <w:left w:val="single" w:sz="4" w:space="0" w:color="000000"/>
              <w:bottom w:val="single" w:sz="4" w:space="0" w:color="000000"/>
              <w:right w:val="single" w:sz="4" w:space="0" w:color="000000"/>
            </w:tcBorders>
            <w:vAlign w:val="center"/>
          </w:tcPr>
          <w:p w14:paraId="55FF2D8E"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від 6600 до 14000 м</w:t>
            </w:r>
            <w:r w:rsidRPr="0076582D">
              <w:rPr>
                <w:rFonts w:ascii="Times New Roman" w:eastAsia="Calibri" w:hAnsi="Times New Roman" w:cs="Times New Roman"/>
                <w:bCs/>
                <w:sz w:val="24"/>
                <w:szCs w:val="24"/>
                <w:vertAlign w:val="superscript"/>
                <w:lang w:eastAsia="uk-UA"/>
              </w:rPr>
              <w:t>2</w:t>
            </w:r>
          </w:p>
        </w:tc>
      </w:tr>
      <w:tr w:rsidR="0076582D" w:rsidRPr="0076582D" w14:paraId="63E62BD5"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02A39FCC"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lastRenderedPageBreak/>
              <w:t xml:space="preserve">Параметри упаковки </w:t>
            </w:r>
            <w:proofErr w:type="spellStart"/>
            <w:r w:rsidRPr="0076582D">
              <w:rPr>
                <w:rFonts w:ascii="Times New Roman" w:eastAsia="Calibri" w:hAnsi="Times New Roman" w:cs="Times New Roman"/>
                <w:bCs/>
                <w:sz w:val="24"/>
                <w:szCs w:val="24"/>
                <w:lang w:eastAsia="uk-UA"/>
              </w:rPr>
              <w:t>Висота,мм</w:t>
            </w:r>
            <w:proofErr w:type="spellEnd"/>
          </w:p>
        </w:tc>
        <w:tc>
          <w:tcPr>
            <w:tcW w:w="5245" w:type="dxa"/>
            <w:tcBorders>
              <w:top w:val="single" w:sz="4" w:space="0" w:color="000000"/>
              <w:left w:val="single" w:sz="4" w:space="0" w:color="000000"/>
              <w:bottom w:val="single" w:sz="4" w:space="0" w:color="000000"/>
              <w:right w:val="single" w:sz="4" w:space="0" w:color="000000"/>
            </w:tcBorders>
            <w:vAlign w:val="center"/>
          </w:tcPr>
          <w:p w14:paraId="5A35FADF"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1 700 мм ± 10 мм</w:t>
            </w:r>
          </w:p>
        </w:tc>
      </w:tr>
      <w:tr w:rsidR="0076582D" w:rsidRPr="0076582D" w14:paraId="731CB310"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102C6DAA"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 xml:space="preserve">Параметри упаковки </w:t>
            </w:r>
            <w:proofErr w:type="spellStart"/>
            <w:r w:rsidRPr="0076582D">
              <w:rPr>
                <w:rFonts w:ascii="Times New Roman" w:eastAsia="Calibri" w:hAnsi="Times New Roman" w:cs="Times New Roman"/>
                <w:bCs/>
                <w:sz w:val="24"/>
                <w:szCs w:val="24"/>
                <w:lang w:eastAsia="uk-UA"/>
              </w:rPr>
              <w:t>Ширина,мм</w:t>
            </w:r>
            <w:proofErr w:type="spellEnd"/>
          </w:p>
        </w:tc>
        <w:tc>
          <w:tcPr>
            <w:tcW w:w="5245" w:type="dxa"/>
            <w:tcBorders>
              <w:top w:val="single" w:sz="4" w:space="0" w:color="000000"/>
              <w:left w:val="single" w:sz="4" w:space="0" w:color="000000"/>
              <w:bottom w:val="single" w:sz="4" w:space="0" w:color="000000"/>
              <w:right w:val="single" w:sz="4" w:space="0" w:color="000000"/>
            </w:tcBorders>
            <w:vAlign w:val="center"/>
          </w:tcPr>
          <w:p w14:paraId="1377B9B9" w14:textId="77777777" w:rsidR="0076582D" w:rsidRPr="0076582D" w:rsidRDefault="0076582D" w:rsidP="0076582D">
            <w:pPr>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1 410 мм ± 10 мм</w:t>
            </w:r>
          </w:p>
        </w:tc>
      </w:tr>
      <w:tr w:rsidR="0076582D" w:rsidRPr="0076582D" w14:paraId="68788ACD"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2F0E6A3E"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 xml:space="preserve">Параметри упаковки </w:t>
            </w:r>
            <w:proofErr w:type="spellStart"/>
            <w:r w:rsidRPr="0076582D">
              <w:rPr>
                <w:rFonts w:ascii="Times New Roman" w:eastAsia="Calibri" w:hAnsi="Times New Roman" w:cs="Times New Roman"/>
                <w:bCs/>
                <w:sz w:val="24"/>
                <w:szCs w:val="24"/>
                <w:lang w:eastAsia="uk-UA"/>
              </w:rPr>
              <w:t>Довжина,мм</w:t>
            </w:r>
            <w:proofErr w:type="spellEnd"/>
          </w:p>
        </w:tc>
        <w:tc>
          <w:tcPr>
            <w:tcW w:w="5245" w:type="dxa"/>
            <w:tcBorders>
              <w:top w:val="single" w:sz="4" w:space="0" w:color="000000"/>
              <w:left w:val="single" w:sz="4" w:space="0" w:color="000000"/>
              <w:bottom w:val="single" w:sz="4" w:space="0" w:color="000000"/>
              <w:right w:val="single" w:sz="4" w:space="0" w:color="000000"/>
            </w:tcBorders>
            <w:vAlign w:val="center"/>
          </w:tcPr>
          <w:p w14:paraId="570EA90F"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1 410 мм ± 10 мм</w:t>
            </w:r>
          </w:p>
        </w:tc>
      </w:tr>
      <w:tr w:rsidR="0076582D" w:rsidRPr="0076582D" w14:paraId="38F7D4E9"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7371B8F4"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Вага, кг</w:t>
            </w:r>
          </w:p>
        </w:tc>
        <w:tc>
          <w:tcPr>
            <w:tcW w:w="5245" w:type="dxa"/>
            <w:tcBorders>
              <w:top w:val="single" w:sz="4" w:space="0" w:color="000000"/>
              <w:left w:val="single" w:sz="4" w:space="0" w:color="000000"/>
              <w:bottom w:val="single" w:sz="4" w:space="0" w:color="000000"/>
              <w:right w:val="single" w:sz="4" w:space="0" w:color="000000"/>
            </w:tcBorders>
            <w:vAlign w:val="center"/>
          </w:tcPr>
          <w:p w14:paraId="6CD16AB7"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1 275 кг ± 5 кг</w:t>
            </w:r>
          </w:p>
        </w:tc>
      </w:tr>
      <w:tr w:rsidR="0076582D" w:rsidRPr="0076582D" w14:paraId="13754129"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16AFADD0"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Температурний режим</w:t>
            </w:r>
          </w:p>
        </w:tc>
        <w:tc>
          <w:tcPr>
            <w:tcW w:w="5245" w:type="dxa"/>
            <w:tcBorders>
              <w:top w:val="single" w:sz="4" w:space="0" w:color="000000"/>
              <w:left w:val="single" w:sz="4" w:space="0" w:color="000000"/>
              <w:bottom w:val="single" w:sz="4" w:space="0" w:color="000000"/>
              <w:right w:val="single" w:sz="4" w:space="0" w:color="000000"/>
            </w:tcBorders>
            <w:vAlign w:val="center"/>
          </w:tcPr>
          <w:p w14:paraId="6CABBCC2"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 xml:space="preserve">до -35 </w:t>
            </w:r>
            <w:r w:rsidRPr="0076582D">
              <w:rPr>
                <w:rFonts w:ascii="Times New Roman" w:eastAsia="Calibri" w:hAnsi="Times New Roman" w:cs="Times New Roman"/>
                <w:bCs/>
                <w:sz w:val="24"/>
                <w:szCs w:val="24"/>
                <w:vertAlign w:val="superscript"/>
                <w:lang w:eastAsia="uk-UA"/>
              </w:rPr>
              <w:t>0</w:t>
            </w:r>
            <w:r w:rsidRPr="0076582D">
              <w:rPr>
                <w:rFonts w:ascii="Times New Roman" w:eastAsia="Calibri" w:hAnsi="Times New Roman" w:cs="Times New Roman"/>
                <w:bCs/>
                <w:sz w:val="24"/>
                <w:szCs w:val="24"/>
                <w:lang w:eastAsia="uk-UA"/>
              </w:rPr>
              <w:t>С</w:t>
            </w:r>
          </w:p>
        </w:tc>
      </w:tr>
      <w:tr w:rsidR="0076582D" w:rsidRPr="0076582D" w14:paraId="75ACFEFF"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14517DEA"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Властивості товару</w:t>
            </w:r>
          </w:p>
        </w:tc>
        <w:tc>
          <w:tcPr>
            <w:tcW w:w="5245" w:type="dxa"/>
            <w:tcBorders>
              <w:top w:val="single" w:sz="4" w:space="0" w:color="000000"/>
              <w:left w:val="single" w:sz="4" w:space="0" w:color="000000"/>
              <w:bottom w:val="single" w:sz="4" w:space="0" w:color="000000"/>
              <w:right w:val="single" w:sz="4" w:space="0" w:color="000000"/>
            </w:tcBorders>
            <w:vAlign w:val="center"/>
          </w:tcPr>
          <w:p w14:paraId="15584071"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не руйнує бетон і дорожнє покриття, не сприяє корозії авто як технічна сіль (низька корозійна активність), захищає лапи тварин від пошкодження, а взуття від руйнування</w:t>
            </w:r>
          </w:p>
        </w:tc>
      </w:tr>
      <w:tr w:rsidR="0076582D" w:rsidRPr="0076582D" w14:paraId="2218ED08"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08BF7593"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Склад товару</w:t>
            </w:r>
          </w:p>
        </w:tc>
        <w:tc>
          <w:tcPr>
            <w:tcW w:w="5245" w:type="dxa"/>
            <w:tcBorders>
              <w:top w:val="single" w:sz="4" w:space="0" w:color="000000"/>
              <w:left w:val="single" w:sz="4" w:space="0" w:color="000000"/>
              <w:bottom w:val="single" w:sz="4" w:space="0" w:color="000000"/>
              <w:right w:val="single" w:sz="4" w:space="0" w:color="000000"/>
            </w:tcBorders>
            <w:vAlign w:val="center"/>
          </w:tcPr>
          <w:p w14:paraId="340E4279"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 xml:space="preserve">водний хлорид магнію MgCl2 * 6H2O як основна речовина. </w:t>
            </w:r>
            <w:proofErr w:type="spellStart"/>
            <w:r w:rsidRPr="0076582D">
              <w:rPr>
                <w:rFonts w:ascii="Times New Roman" w:eastAsia="Calibri" w:hAnsi="Times New Roman" w:cs="Times New Roman"/>
                <w:bCs/>
                <w:sz w:val="24"/>
                <w:szCs w:val="24"/>
                <w:lang w:eastAsia="uk-UA"/>
              </w:rPr>
              <w:t>Хлоромагніевій</w:t>
            </w:r>
            <w:proofErr w:type="spellEnd"/>
            <w:r w:rsidRPr="0076582D">
              <w:rPr>
                <w:rFonts w:ascii="Times New Roman" w:eastAsia="Calibri" w:hAnsi="Times New Roman" w:cs="Times New Roman"/>
                <w:bCs/>
                <w:sz w:val="24"/>
                <w:szCs w:val="24"/>
                <w:lang w:eastAsia="uk-UA"/>
              </w:rPr>
              <w:t xml:space="preserve"> комплекс з вмістом солей і мікроелементів: калію, кальцію, натрію, міді, заліза, кремнію, титану, молібдену, літію, бору, брому, йоду</w:t>
            </w:r>
          </w:p>
        </w:tc>
      </w:tr>
      <w:tr w:rsidR="0076582D" w:rsidRPr="0076582D" w14:paraId="3997A013"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314A13EA"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Властивості товару</w:t>
            </w:r>
          </w:p>
        </w:tc>
        <w:tc>
          <w:tcPr>
            <w:tcW w:w="5245" w:type="dxa"/>
            <w:tcBorders>
              <w:top w:val="single" w:sz="4" w:space="0" w:color="000000"/>
              <w:left w:val="single" w:sz="4" w:space="0" w:color="000000"/>
              <w:bottom w:val="single" w:sz="4" w:space="0" w:color="000000"/>
              <w:right w:val="single" w:sz="4" w:space="0" w:color="000000"/>
            </w:tcBorders>
            <w:vAlign w:val="center"/>
          </w:tcPr>
          <w:p w14:paraId="01EAC0D8"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густиною 1,25-1,29 г/см</w:t>
            </w:r>
            <w:r w:rsidRPr="0076582D">
              <w:rPr>
                <w:rFonts w:ascii="Times New Roman" w:eastAsia="Calibri" w:hAnsi="Times New Roman" w:cs="Times New Roman"/>
                <w:bCs/>
                <w:sz w:val="24"/>
                <w:szCs w:val="24"/>
                <w:vertAlign w:val="superscript"/>
                <w:lang w:eastAsia="uk-UA"/>
              </w:rPr>
              <w:t>3</w:t>
            </w:r>
            <w:r w:rsidRPr="0076582D">
              <w:rPr>
                <w:rFonts w:ascii="Times New Roman" w:eastAsia="Calibri" w:hAnsi="Times New Roman" w:cs="Times New Roman"/>
                <w:bCs/>
                <w:sz w:val="24"/>
                <w:szCs w:val="24"/>
                <w:lang w:eastAsia="uk-UA"/>
              </w:rPr>
              <w:t>,</w:t>
            </w:r>
            <w:r w:rsidRPr="0076582D">
              <w:rPr>
                <w:rFonts w:ascii="Times New Roman" w:eastAsia="Calibri" w:hAnsi="Times New Roman" w:cs="Times New Roman"/>
                <w:bCs/>
                <w:sz w:val="24"/>
                <w:szCs w:val="24"/>
                <w:lang w:eastAsia="uk-UA"/>
              </w:rPr>
              <w:br/>
              <w:t>прозорий або жовтуватий,</w:t>
            </w:r>
            <w:r w:rsidRPr="0076582D">
              <w:rPr>
                <w:rFonts w:ascii="Times New Roman" w:eastAsia="Calibri" w:hAnsi="Times New Roman" w:cs="Times New Roman"/>
                <w:bCs/>
                <w:sz w:val="24"/>
                <w:szCs w:val="24"/>
                <w:lang w:eastAsia="uk-UA"/>
              </w:rPr>
              <w:br/>
              <w:t>маслянистий на дотик,</w:t>
            </w:r>
          </w:p>
          <w:p w14:paraId="25F4C0DD"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без запаху,</w:t>
            </w:r>
            <w:r w:rsidRPr="0076582D">
              <w:rPr>
                <w:rFonts w:ascii="Times New Roman" w:eastAsia="Calibri" w:hAnsi="Times New Roman" w:cs="Times New Roman"/>
                <w:bCs/>
                <w:sz w:val="24"/>
                <w:szCs w:val="24"/>
                <w:lang w:eastAsia="uk-UA"/>
              </w:rPr>
              <w:br/>
              <w:t xml:space="preserve">не горючий, </w:t>
            </w:r>
            <w:proofErr w:type="spellStart"/>
            <w:r w:rsidRPr="0076582D">
              <w:rPr>
                <w:rFonts w:ascii="Times New Roman" w:eastAsia="Calibri" w:hAnsi="Times New Roman" w:cs="Times New Roman"/>
                <w:bCs/>
                <w:sz w:val="24"/>
                <w:szCs w:val="24"/>
                <w:lang w:eastAsia="uk-UA"/>
              </w:rPr>
              <w:t>пожежо</w:t>
            </w:r>
            <w:proofErr w:type="spellEnd"/>
            <w:r w:rsidRPr="0076582D">
              <w:rPr>
                <w:rFonts w:ascii="Times New Roman" w:eastAsia="Calibri" w:hAnsi="Times New Roman" w:cs="Times New Roman"/>
                <w:bCs/>
                <w:sz w:val="24"/>
                <w:szCs w:val="24"/>
                <w:lang w:eastAsia="uk-UA"/>
              </w:rPr>
              <w:t xml:space="preserve"> і вибухобезпечний,</w:t>
            </w:r>
            <w:r w:rsidRPr="0076582D">
              <w:rPr>
                <w:rFonts w:ascii="Times New Roman" w:eastAsia="Calibri" w:hAnsi="Times New Roman" w:cs="Times New Roman"/>
                <w:bCs/>
                <w:sz w:val="24"/>
                <w:szCs w:val="24"/>
                <w:lang w:eastAsia="uk-UA"/>
              </w:rPr>
              <w:br/>
              <w:t>не токсичний,</w:t>
            </w:r>
            <w:r w:rsidRPr="0076582D">
              <w:rPr>
                <w:rFonts w:ascii="Times New Roman" w:eastAsia="Calibri" w:hAnsi="Times New Roman" w:cs="Times New Roman"/>
                <w:bCs/>
                <w:sz w:val="24"/>
                <w:szCs w:val="24"/>
                <w:lang w:eastAsia="uk-UA"/>
              </w:rPr>
              <w:br/>
              <w:t>без шкідливих виробничих факторів включаючи хімічні й біологічні</w:t>
            </w:r>
          </w:p>
        </w:tc>
      </w:tr>
      <w:tr w:rsidR="0076582D" w:rsidRPr="0076582D" w14:paraId="5C1D3F92"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08E4D5D1"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Термін зберігання в герметично закритій тарі</w:t>
            </w:r>
          </w:p>
        </w:tc>
        <w:tc>
          <w:tcPr>
            <w:tcW w:w="5245" w:type="dxa"/>
            <w:tcBorders>
              <w:top w:val="single" w:sz="4" w:space="0" w:color="000000"/>
              <w:left w:val="single" w:sz="4" w:space="0" w:color="000000"/>
              <w:bottom w:val="single" w:sz="4" w:space="0" w:color="000000"/>
              <w:right w:val="single" w:sz="4" w:space="0" w:color="000000"/>
            </w:tcBorders>
            <w:vAlign w:val="center"/>
          </w:tcPr>
          <w:p w14:paraId="4DEB6F64"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не обмежений ТУ У 08.9-34775490-001:2018</w:t>
            </w:r>
          </w:p>
        </w:tc>
      </w:tr>
      <w:tr w:rsidR="0076582D" w:rsidRPr="0076582D" w14:paraId="106EC323"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691CA19F"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Сертифікація</w:t>
            </w:r>
          </w:p>
        </w:tc>
        <w:tc>
          <w:tcPr>
            <w:tcW w:w="5245" w:type="dxa"/>
            <w:tcBorders>
              <w:top w:val="single" w:sz="4" w:space="0" w:color="000000"/>
              <w:left w:val="single" w:sz="4" w:space="0" w:color="000000"/>
              <w:bottom w:val="single" w:sz="4" w:space="0" w:color="000000"/>
              <w:right w:val="single" w:sz="4" w:space="0" w:color="000000"/>
            </w:tcBorders>
            <w:vAlign w:val="center"/>
          </w:tcPr>
          <w:p w14:paraId="0A714BF3"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 xml:space="preserve">ВИСНОВОК державної санітарно-епідеміологічної експертизи № ________ </w:t>
            </w:r>
          </w:p>
          <w:p w14:paraId="377B4E11"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Aptos" w:hAnsi="Times New Roman" w:cs="Times New Roman"/>
                <w:i/>
                <w:iCs/>
                <w:color w:val="002060"/>
                <w:sz w:val="24"/>
                <w:szCs w:val="24"/>
              </w:rPr>
              <w:t>Заповнюється учасником</w:t>
            </w:r>
          </w:p>
        </w:tc>
      </w:tr>
      <w:tr w:rsidR="0076582D" w:rsidRPr="0076582D" w14:paraId="0BD7CAF2"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0440CAD8"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Пакування</w:t>
            </w:r>
          </w:p>
        </w:tc>
        <w:tc>
          <w:tcPr>
            <w:tcW w:w="5245" w:type="dxa"/>
            <w:tcBorders>
              <w:top w:val="single" w:sz="4" w:space="0" w:color="000000"/>
              <w:left w:val="single" w:sz="4" w:space="0" w:color="000000"/>
              <w:bottom w:val="single" w:sz="4" w:space="0" w:color="000000"/>
              <w:right w:val="single" w:sz="4" w:space="0" w:color="000000"/>
            </w:tcBorders>
            <w:vAlign w:val="center"/>
          </w:tcPr>
          <w:p w14:paraId="44B26BA1"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Пластикова бочка (контейнер) та металева решітка, відповідно до зображення</w:t>
            </w:r>
          </w:p>
        </w:tc>
      </w:tr>
      <w:tr w:rsidR="0076582D" w:rsidRPr="0076582D" w14:paraId="5FDEE14C"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70915604"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Характеристики</w:t>
            </w:r>
          </w:p>
        </w:tc>
        <w:tc>
          <w:tcPr>
            <w:tcW w:w="5245" w:type="dxa"/>
            <w:tcBorders>
              <w:top w:val="single" w:sz="4" w:space="0" w:color="000000"/>
              <w:left w:val="single" w:sz="4" w:space="0" w:color="000000"/>
              <w:bottom w:val="single" w:sz="4" w:space="0" w:color="000000"/>
              <w:right w:val="single" w:sz="4" w:space="0" w:color="000000"/>
            </w:tcBorders>
            <w:vAlign w:val="center"/>
          </w:tcPr>
          <w:p w14:paraId="129DC8D3" w14:textId="77777777" w:rsidR="0076582D" w:rsidRPr="0076582D" w:rsidRDefault="0076582D" w:rsidP="0076582D">
            <w:pPr>
              <w:shd w:val="clear" w:color="auto" w:fill="FFFFFF"/>
              <w:suppressAutoHyphens/>
              <w:spacing w:after="0" w:line="240" w:lineRule="auto"/>
              <w:rPr>
                <w:rFonts w:ascii="Times New Roman" w:eastAsia="Aptos" w:hAnsi="Times New Roman" w:cs="Times New Roman"/>
                <w:color w:val="000000"/>
                <w:sz w:val="24"/>
                <w:szCs w:val="24"/>
              </w:rPr>
            </w:pPr>
            <w:r w:rsidRPr="0076582D">
              <w:rPr>
                <w:rFonts w:ascii="Times New Roman" w:eastAsia="Aptos" w:hAnsi="Times New Roman" w:cs="Times New Roman"/>
                <w:color w:val="000000"/>
                <w:sz w:val="24"/>
                <w:szCs w:val="24"/>
              </w:rPr>
              <w:t>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w:t>
            </w:r>
          </w:p>
          <w:p w14:paraId="4A2DF362"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Aptos" w:hAnsi="Times New Roman" w:cs="Times New Roman"/>
                <w:color w:val="000000"/>
                <w:sz w:val="24"/>
                <w:szCs w:val="24"/>
              </w:rPr>
              <w:t>Технічні та якісні характеристики повинні відповідати вимогам і стандартам відповідних чинних нормативних документів.</w:t>
            </w:r>
          </w:p>
        </w:tc>
      </w:tr>
      <w:tr w:rsidR="0076582D" w:rsidRPr="0076582D" w14:paraId="4795136E"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047613A1"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Виробник:</w:t>
            </w:r>
          </w:p>
        </w:tc>
        <w:tc>
          <w:tcPr>
            <w:tcW w:w="5245" w:type="dxa"/>
            <w:tcBorders>
              <w:top w:val="single" w:sz="4" w:space="0" w:color="000000"/>
              <w:left w:val="single" w:sz="4" w:space="0" w:color="000000"/>
              <w:bottom w:val="single" w:sz="4" w:space="0" w:color="000000"/>
              <w:right w:val="single" w:sz="4" w:space="0" w:color="000000"/>
            </w:tcBorders>
            <w:vAlign w:val="center"/>
          </w:tcPr>
          <w:p w14:paraId="40DBB3FF" w14:textId="77777777" w:rsidR="0076582D" w:rsidRPr="0076582D" w:rsidRDefault="0076582D" w:rsidP="0076582D">
            <w:pPr>
              <w:shd w:val="clear" w:color="auto" w:fill="FFFFFF"/>
              <w:suppressAutoHyphens/>
              <w:spacing w:after="0" w:line="240" w:lineRule="auto"/>
              <w:rPr>
                <w:rFonts w:ascii="Times New Roman" w:eastAsia="Aptos" w:hAnsi="Times New Roman" w:cs="Times New Roman"/>
                <w:i/>
                <w:iCs/>
                <w:color w:val="000000"/>
                <w:sz w:val="24"/>
                <w:szCs w:val="24"/>
              </w:rPr>
            </w:pPr>
            <w:r w:rsidRPr="0076582D">
              <w:rPr>
                <w:rFonts w:ascii="Times New Roman" w:eastAsia="Aptos" w:hAnsi="Times New Roman" w:cs="Times New Roman"/>
                <w:i/>
                <w:iCs/>
                <w:color w:val="002060"/>
                <w:sz w:val="24"/>
                <w:szCs w:val="24"/>
              </w:rPr>
              <w:t>Заповнюється учасником</w:t>
            </w:r>
          </w:p>
        </w:tc>
      </w:tr>
      <w:tr w:rsidR="0076582D" w:rsidRPr="0076582D" w14:paraId="15E31609" w14:textId="77777777" w:rsidTr="00ED4165">
        <w:trPr>
          <w:trHeight w:val="230"/>
        </w:trPr>
        <w:tc>
          <w:tcPr>
            <w:tcW w:w="4531" w:type="dxa"/>
            <w:tcBorders>
              <w:top w:val="single" w:sz="4" w:space="0" w:color="000000"/>
              <w:left w:val="single" w:sz="4" w:space="0" w:color="000000"/>
              <w:bottom w:val="single" w:sz="4" w:space="0" w:color="000000"/>
              <w:right w:val="single" w:sz="4" w:space="0" w:color="000000"/>
            </w:tcBorders>
            <w:vAlign w:val="center"/>
          </w:tcPr>
          <w:p w14:paraId="3D173BFA" w14:textId="77777777" w:rsidR="0076582D" w:rsidRPr="0076582D" w:rsidRDefault="0076582D" w:rsidP="0076582D">
            <w:pPr>
              <w:shd w:val="clear" w:color="auto" w:fill="FFFFFF"/>
              <w:suppressAutoHyphens/>
              <w:spacing w:after="0" w:line="240" w:lineRule="auto"/>
              <w:rPr>
                <w:rFonts w:ascii="Times New Roman" w:eastAsia="Calibri" w:hAnsi="Times New Roman" w:cs="Times New Roman"/>
                <w:bCs/>
                <w:sz w:val="24"/>
                <w:szCs w:val="24"/>
                <w:lang w:eastAsia="uk-UA"/>
              </w:rPr>
            </w:pPr>
            <w:r w:rsidRPr="0076582D">
              <w:rPr>
                <w:rFonts w:ascii="Times New Roman" w:eastAsia="Calibri" w:hAnsi="Times New Roman" w:cs="Times New Roman"/>
                <w:bCs/>
                <w:sz w:val="24"/>
                <w:szCs w:val="24"/>
                <w:lang w:eastAsia="uk-UA"/>
              </w:rPr>
              <w:t>Країна виробництва:</w:t>
            </w:r>
          </w:p>
        </w:tc>
        <w:tc>
          <w:tcPr>
            <w:tcW w:w="5245" w:type="dxa"/>
            <w:tcBorders>
              <w:top w:val="single" w:sz="4" w:space="0" w:color="000000"/>
              <w:left w:val="single" w:sz="4" w:space="0" w:color="000000"/>
              <w:bottom w:val="single" w:sz="4" w:space="0" w:color="000000"/>
              <w:right w:val="single" w:sz="4" w:space="0" w:color="000000"/>
            </w:tcBorders>
            <w:vAlign w:val="center"/>
          </w:tcPr>
          <w:p w14:paraId="3F64B791" w14:textId="77777777" w:rsidR="0076582D" w:rsidRPr="0076582D" w:rsidRDefault="0076582D" w:rsidP="0076582D">
            <w:pPr>
              <w:shd w:val="clear" w:color="auto" w:fill="FFFFFF"/>
              <w:suppressAutoHyphens/>
              <w:spacing w:after="0" w:line="240" w:lineRule="auto"/>
              <w:rPr>
                <w:rFonts w:ascii="Times New Roman" w:eastAsia="Aptos" w:hAnsi="Times New Roman" w:cs="Times New Roman"/>
                <w:color w:val="000000"/>
                <w:sz w:val="24"/>
                <w:szCs w:val="24"/>
              </w:rPr>
            </w:pPr>
            <w:r w:rsidRPr="0076582D">
              <w:rPr>
                <w:rFonts w:ascii="Times New Roman" w:eastAsia="Aptos" w:hAnsi="Times New Roman" w:cs="Times New Roman"/>
                <w:i/>
                <w:iCs/>
                <w:color w:val="002060"/>
                <w:sz w:val="24"/>
                <w:szCs w:val="24"/>
              </w:rPr>
              <w:t>Заповнюється учасником</w:t>
            </w:r>
          </w:p>
        </w:tc>
      </w:tr>
    </w:tbl>
    <w:p w14:paraId="43D12160" w14:textId="77777777" w:rsidR="0076582D" w:rsidRPr="0076582D" w:rsidRDefault="0076582D" w:rsidP="0076582D">
      <w:pPr>
        <w:suppressAutoHyphens/>
        <w:spacing w:after="0" w:line="240" w:lineRule="auto"/>
        <w:ind w:firstLine="567"/>
        <w:jc w:val="both"/>
        <w:rPr>
          <w:rFonts w:ascii="Times New Roman" w:eastAsia="Aptos" w:hAnsi="Times New Roman" w:cs="Times New Roman"/>
          <w:color w:val="000000"/>
          <w:sz w:val="24"/>
          <w:szCs w:val="24"/>
        </w:rPr>
      </w:pPr>
      <w:r w:rsidRPr="0076582D">
        <w:rPr>
          <w:rFonts w:ascii="Times New Roman" w:eastAsia="Aptos" w:hAnsi="Times New Roman" w:cs="Times New Roman"/>
          <w:color w:val="000000"/>
          <w:sz w:val="24"/>
          <w:szCs w:val="24"/>
        </w:rPr>
        <w:t>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48FA2C00" w14:textId="77777777" w:rsidR="0076582D" w:rsidRPr="0076582D" w:rsidRDefault="0076582D" w:rsidP="0076582D">
      <w:pPr>
        <w:suppressAutoHyphens/>
        <w:spacing w:after="0" w:line="240" w:lineRule="auto"/>
        <w:ind w:firstLine="567"/>
        <w:jc w:val="both"/>
        <w:rPr>
          <w:rFonts w:ascii="Times New Roman" w:eastAsia="Aptos" w:hAnsi="Times New Roman" w:cs="Times New Roman"/>
          <w:color w:val="000000"/>
          <w:sz w:val="24"/>
          <w:szCs w:val="24"/>
        </w:rPr>
      </w:pPr>
      <w:r w:rsidRPr="0076582D">
        <w:rPr>
          <w:rFonts w:ascii="Times New Roman" w:eastAsia="Aptos" w:hAnsi="Times New Roman" w:cs="Times New Roman"/>
          <w:color w:val="000000"/>
          <w:sz w:val="24"/>
          <w:szCs w:val="24"/>
        </w:rPr>
        <w:t>Доставка та розвантаження товару здійснюється за рахунок і силами Постачальника у попередньо узгоджені у терміни і визначається в кожному випадку замовленням Замовника.</w:t>
      </w:r>
    </w:p>
    <w:p w14:paraId="4076EAD2" w14:textId="77777777" w:rsidR="0076582D" w:rsidRPr="0076582D" w:rsidRDefault="0076582D" w:rsidP="0076582D">
      <w:pPr>
        <w:suppressAutoHyphens/>
        <w:spacing w:after="0" w:line="240" w:lineRule="auto"/>
        <w:ind w:firstLine="567"/>
        <w:jc w:val="both"/>
        <w:rPr>
          <w:rFonts w:ascii="Times New Roman" w:eastAsia="Calibri" w:hAnsi="Times New Roman" w:cs="Times New Roman"/>
          <w:b/>
          <w:bCs/>
          <w:sz w:val="24"/>
          <w:szCs w:val="24"/>
        </w:rPr>
      </w:pPr>
    </w:p>
    <w:p w14:paraId="2D1B4691" w14:textId="77777777" w:rsidR="0076582D" w:rsidRPr="0076582D" w:rsidRDefault="0076582D" w:rsidP="0076582D">
      <w:pPr>
        <w:suppressAutoHyphens/>
        <w:spacing w:after="0" w:line="240" w:lineRule="auto"/>
        <w:jc w:val="both"/>
        <w:rPr>
          <w:rFonts w:ascii="Times New Roman" w:eastAsia="Calibri" w:hAnsi="Times New Roman" w:cs="Times New Roman"/>
          <w:i/>
          <w:iCs/>
          <w:sz w:val="24"/>
          <w:szCs w:val="24"/>
        </w:rPr>
      </w:pPr>
      <w:r w:rsidRPr="0076582D">
        <w:rPr>
          <w:rFonts w:ascii="Times New Roman" w:eastAsia="Calibri" w:hAnsi="Times New Roman" w:cs="Times New Roman"/>
          <w:i/>
          <w:iCs/>
          <w:sz w:val="24"/>
          <w:szCs w:val="24"/>
        </w:rPr>
        <w:t>Орієнтовне зображення Товару.</w:t>
      </w:r>
    </w:p>
    <w:p w14:paraId="0A6EFF12" w14:textId="77777777" w:rsidR="0076582D" w:rsidRPr="0076582D" w:rsidRDefault="0076582D" w:rsidP="0076582D">
      <w:pPr>
        <w:suppressAutoHyphens/>
        <w:spacing w:after="0" w:line="240" w:lineRule="auto"/>
        <w:jc w:val="both"/>
        <w:rPr>
          <w:rFonts w:ascii="Times New Roman" w:eastAsia="Calibri" w:hAnsi="Times New Roman" w:cs="Times New Roman"/>
          <w:b/>
          <w:bCs/>
          <w:sz w:val="24"/>
          <w:szCs w:val="24"/>
        </w:rPr>
      </w:pPr>
      <w:r w:rsidRPr="0076582D">
        <w:rPr>
          <w:rFonts w:ascii="Times New Roman" w:hAnsi="Times New Roman" w:cs="Times New Roman"/>
          <w:noProof/>
          <w:sz w:val="24"/>
          <w:szCs w:val="24"/>
        </w:rPr>
        <w:lastRenderedPageBreak/>
        <w:drawing>
          <wp:inline distT="0" distB="0" distL="0" distR="0" wp14:anchorId="4E4775A9" wp14:editId="2679BEF2">
            <wp:extent cx="3257550" cy="2409825"/>
            <wp:effectExtent l="0" t="0" r="0" b="0"/>
            <wp:docPr id="1" name="Рисунок 1" descr="Зображення, що містить візок, транспорт, колесо, віз&#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візок, транспорт, колесо, віз&#10;&#10;Вміст на основі ШІ може бути неправильним."/>
                    <pic:cNvPicPr>
                      <a:picLocks noChangeAspect="1" noChangeArrowheads="1"/>
                    </pic:cNvPicPr>
                  </pic:nvPicPr>
                  <pic:blipFill>
                    <a:blip r:embed="rId8"/>
                    <a:stretch>
                      <a:fillRect/>
                    </a:stretch>
                  </pic:blipFill>
                  <pic:spPr bwMode="auto">
                    <a:xfrm>
                      <a:off x="0" y="0"/>
                      <a:ext cx="3257550" cy="2409825"/>
                    </a:xfrm>
                    <a:prstGeom prst="rect">
                      <a:avLst/>
                    </a:prstGeom>
                    <a:noFill/>
                  </pic:spPr>
                </pic:pic>
              </a:graphicData>
            </a:graphic>
          </wp:inline>
        </w:drawing>
      </w:r>
    </w:p>
    <w:p w14:paraId="5F3C1993" w14:textId="77777777" w:rsidR="0076582D" w:rsidRPr="0076582D" w:rsidRDefault="0076582D" w:rsidP="0076582D">
      <w:pPr>
        <w:suppressAutoHyphens/>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bookmarkStart w:id="7" w:name="_Hlk214523107_копія_1"/>
      <w:bookmarkEnd w:id="7"/>
    </w:p>
    <w:p w14:paraId="1FADF38C" w14:textId="77777777" w:rsidR="0076582D" w:rsidRPr="0076582D" w:rsidRDefault="0076582D" w:rsidP="0076582D">
      <w:pPr>
        <w:suppressAutoHyphens/>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bookmarkStart w:id="8" w:name="_Hlk219381585"/>
      <w:r w:rsidRPr="0076582D">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bookmarkEnd w:id="8"/>
      <w:r w:rsidRPr="0076582D">
        <w:rPr>
          <w:rFonts w:ascii="Times New Roman" w:eastAsia="Aptos" w:hAnsi="Times New Roman" w:cs="Times New Roman"/>
          <w:bCs/>
          <w:i/>
          <w:iCs/>
          <w:color w:val="000000"/>
          <w:kern w:val="2"/>
          <w:sz w:val="24"/>
          <w:szCs w:val="24"/>
          <w14:ligatures w14:val="standardContextual"/>
        </w:rPr>
        <w:t>.</w:t>
      </w:r>
    </w:p>
    <w:p w14:paraId="6F64FED9" w14:textId="77777777" w:rsidR="0076582D" w:rsidRPr="0076582D" w:rsidRDefault="0076582D" w:rsidP="0076582D">
      <w:pPr>
        <w:suppressAutoHyphens/>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1091C57E" w14:textId="77777777" w:rsidR="0076582D" w:rsidRPr="0076582D" w:rsidRDefault="0076582D" w:rsidP="0076582D">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9" w:name="_Hlk204248034_копія_1"/>
      <w:bookmarkEnd w:id="9"/>
      <w:r w:rsidRPr="0076582D">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43523396" w14:textId="77777777" w:rsidR="0076582D" w:rsidRPr="0076582D" w:rsidRDefault="0076582D" w:rsidP="0076582D">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76582D">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391DFE7" w14:textId="77777777" w:rsidR="0076582D" w:rsidRPr="0076582D" w:rsidRDefault="0076582D" w:rsidP="0076582D">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76582D">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0"/>
      <w:bookmarkEnd w:id="1"/>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0B1BAD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6582D">
        <w:rPr>
          <w:rFonts w:ascii="Times New Roman" w:eastAsia="Times New Roman" w:hAnsi="Times New Roman" w:cs="Times New Roman"/>
          <w:sz w:val="24"/>
          <w:szCs w:val="24"/>
          <w:lang w:eastAsia="ru-RU"/>
        </w:rPr>
        <w:t>19 430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76582D">
        <w:rPr>
          <w:rFonts w:ascii="Times New Roman" w:eastAsia="Times New Roman" w:hAnsi="Times New Roman" w:cs="Times New Roman"/>
          <w:sz w:val="24"/>
          <w:szCs w:val="24"/>
          <w:lang w:eastAsia="ru-RU"/>
        </w:rPr>
        <w:t>дев’ятнадцять тисяч чотириста тридцять</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7E0CE" w14:textId="77777777" w:rsidR="00A535BE" w:rsidRDefault="00A535BE">
      <w:pPr>
        <w:spacing w:after="0" w:line="240" w:lineRule="auto"/>
      </w:pPr>
      <w:r>
        <w:separator/>
      </w:r>
    </w:p>
  </w:endnote>
  <w:endnote w:type="continuationSeparator" w:id="0">
    <w:p w14:paraId="11BEAD4D" w14:textId="77777777" w:rsidR="00A535BE" w:rsidRDefault="00A5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2EC98" w14:textId="77777777" w:rsidR="00A535BE" w:rsidRDefault="00A535BE">
      <w:pPr>
        <w:spacing w:after="0" w:line="240" w:lineRule="auto"/>
      </w:pPr>
      <w:r>
        <w:separator/>
      </w:r>
    </w:p>
  </w:footnote>
  <w:footnote w:type="continuationSeparator" w:id="0">
    <w:p w14:paraId="25390296" w14:textId="77777777" w:rsidR="00A535BE" w:rsidRDefault="00A53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582D"/>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A503E"/>
    <w:rsid w:val="009D1AE9"/>
    <w:rsid w:val="009D2593"/>
    <w:rsid w:val="009E0135"/>
    <w:rsid w:val="00A15F47"/>
    <w:rsid w:val="00A20E61"/>
    <w:rsid w:val="00A52138"/>
    <w:rsid w:val="00A535BE"/>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6582D"/>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907</Words>
  <Characters>5993</Characters>
  <Application>Microsoft Office Word</Application>
  <DocSecurity>0</DocSecurity>
  <Lines>206</Lines>
  <Paragraphs>132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2026-02-23T10:53:00Z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