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eastAsia="Calibri" w:cs="Times New Roman"/>
          <w:b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Назва предм</w:t>
      </w:r>
      <w:r>
        <w:rPr>
          <w:rFonts w:ascii="Times New Roman" w:hAnsi="Times New Roman" w:cs="Times New Roman"/>
          <w:b/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Закупівля системи очищення води (зі встановленням) за кодом CPV за ЄЗС ДК 021:2015: 39370000-6 Водопровідне обладнання</w:t>
      </w:r>
      <w:r/>
    </w:p>
    <w:p>
      <w:pPr>
        <w:pStyle w:val="690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color w:val="585858"/>
          <w:sz w:val="28"/>
          <w:szCs w:val="28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8329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Закупівля системи очищення води (зі встановленням)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96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9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Система очищення води (зі встановленням)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</w:pPr>
            <w:r>
              <w:rPr>
                <w:b/>
              </w:rPr>
              <w:t xml:space="preserve">1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</w:pPr>
            <w:r>
              <w:rPr>
                <w:b/>
              </w:rPr>
              <w:t xml:space="preserve">шт</w:t>
            </w:r>
            <w:r/>
          </w:p>
        </w:tc>
      </w:tr>
    </w:tbl>
    <w:p>
      <w:pPr>
        <w:pStyle w:val="698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698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завершення; </w:t>
      </w:r>
      <w:r>
        <w:rPr>
          <w:b/>
          <w:bCs/>
          <w:i/>
          <w:iCs/>
        </w:rPr>
        <w:t xml:space="preserve">монтаж, </w:t>
      </w:r>
      <w:r>
        <w:rPr>
          <w:b/>
          <w:bCs/>
          <w:i/>
          <w:iCs/>
        </w:rPr>
        <w:t xml:space="preserve">пусконалагоджування</w:t>
      </w:r>
      <w:r>
        <w:rPr>
          <w:b/>
          <w:bCs/>
          <w:i/>
          <w:iCs/>
        </w:rPr>
        <w:t xml:space="preserve"> та введення в експлуатацію Товару.</w:t>
      </w:r>
      <w:r/>
    </w:p>
    <w:p>
      <w:pPr>
        <w:pStyle w:val="698"/>
        <w:ind w:firstLine="567"/>
        <w:jc w:val="both"/>
        <w:spacing w:after="0" w:line="240" w:lineRule="auto"/>
        <w:rPr>
          <w:color w:val="000000" w:themeColor="text1"/>
          <w:shd w:val="clear" w:color="auto" w:fill="ffffff"/>
        </w:rPr>
      </w:pPr>
      <w:r/>
      <w:bookmarkStart w:id="0" w:name="_Hlk131598067"/>
      <w:r>
        <w:rPr>
          <w:color w:val="000000" w:themeColor="text1"/>
          <w:shd w:val="clear" w:color="auto" w:fill="ffffff"/>
        </w:rPr>
        <w:t xml:space="preserve">1. Товар повинен постачатись новим в упаковці та з маркуванням виробника, а також повинна бути в наявності технічна документація, яка входить до комплекту постачання фірми-виробника.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У разі постачання неякісного Товару, Постачальник забезпечує заміну неякісного Товару якісним за власний рахунок при пред’явлені Покупцем не пізніше 7 робочих днів після отримання Товару.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Наявність заявлених Покупцем недоліків та причини їх виникнення повинно встановлюватись актом обстеження технічного стану Товару, який обов’язково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укладається між Сторонами і є підставою для усунення Постачальником недоліків Товару у термін, що узгоджується за домовленістю Сторін. Акт обстеження технічного стану складається сервісним (технічним) центром Постачальника за участю представника Покупця.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Виконання постачання повинно здійснюватися у відповідно до діючих нормативно-правових документів та умов цього </w:t>
      </w:r>
      <w:r>
        <w:rPr>
          <w:rFonts w:ascii="Times New Roman" w:hAnsi="Times New Roman" w:cs="Times New Roman"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sz w:val="24"/>
          <w:szCs w:val="24"/>
        </w:rPr>
        <w:t xml:space="preserve"> Договору.</w:t>
      </w:r>
      <w:bookmarkStart w:id="1" w:name="_Hlk131682113"/>
      <w:r/>
      <w:bookmarkEnd w:id="0"/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Всі необхідні витратні матеріали, що необхідні для встановлення обладнання та витрати на них, Учаснику необхідно передбачити та </w:t>
      </w:r>
      <w:r>
        <w:rPr>
          <w:rFonts w:ascii="Times New Roman" w:hAnsi="Times New Roman" w:cs="Times New Roman"/>
          <w:sz w:val="24"/>
          <w:szCs w:val="24"/>
        </w:rPr>
        <w:t xml:space="preserve">внести</w:t>
      </w:r>
      <w:r>
        <w:rPr>
          <w:rFonts w:ascii="Times New Roman" w:hAnsi="Times New Roman" w:cs="Times New Roman"/>
          <w:sz w:val="24"/>
          <w:szCs w:val="24"/>
        </w:rPr>
        <w:t xml:space="preserve"> в ціну тендерної пропозиції. За необхідності Учасник може за домовленістю із Замовником відвідати та оглянути об’єкт Замовника де необхідно поставити та встановити Товар.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Надати у складі тендерної пропозиції копії діючих сертифікатів: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ISO</w:t>
      </w:r>
      <w:r>
        <w:rPr>
          <w:rFonts w:ascii="Times New Roman" w:hAnsi="Times New Roman" w:cs="Times New Roman"/>
          <w:sz w:val="24"/>
          <w:szCs w:val="24"/>
        </w:rPr>
        <w:t xml:space="preserve"> 9001 система управління якістю,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ISO</w:t>
      </w:r>
      <w:r>
        <w:rPr>
          <w:rFonts w:ascii="Times New Roman" w:hAnsi="Times New Roman" w:cs="Times New Roman"/>
          <w:sz w:val="24"/>
          <w:szCs w:val="24"/>
        </w:rPr>
        <w:t xml:space="preserve"> 14001 система екологічного менеджменту,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ISO</w:t>
      </w:r>
      <w:r>
        <w:rPr>
          <w:rFonts w:ascii="Times New Roman" w:hAnsi="Times New Roman" w:cs="Times New Roman"/>
          <w:sz w:val="24"/>
          <w:szCs w:val="24"/>
        </w:rPr>
        <w:t xml:space="preserve"> 45001 управління охороною праці.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На</w:t>
      </w:r>
      <w:r>
        <w:rPr>
          <w:rFonts w:ascii="Times New Roman" w:hAnsi="Times New Roman" w:cs="Times New Roman"/>
          <w:sz w:val="24"/>
          <w:szCs w:val="24"/>
        </w:rPr>
        <w:t xml:space="preserve">дати лист від виробника обладнання, що буде пропонуватися у тендерній пропозиції, що Учасник являється офіційним дилером та/або представником та/або виробником даного обладнання та гарантувати, що обладнання буде поставлене в строки встановлені Замовником.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Учасник у складі тендерної пропозиції повинен надати лист та/або довідку та/або  гарантійний лист (довільної форми), що у Учасника наявна мережа сертифікованих сервісних центрів та надати завірені копії підтверджуючих документів.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Якісні та кількісні показники вхідної води із виділеними понаднормовими показниками, та розрахункові показники очищеної води при встановленні системи наведені у таблиці: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/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05"/>
        <w:gridCol w:w="1134"/>
        <w:gridCol w:w="1843"/>
        <w:gridCol w:w="1984"/>
        <w:gridCol w:w="2552"/>
      </w:tblGrid>
      <w:tr>
        <w:trPr>
          <w:trHeight w:val="558"/>
        </w:trPr>
        <w:tc>
          <w:tcPr>
            <w:shd w:val="clear" w:color="auto" w:fill="auto"/>
            <w:tcW w:w="24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Показник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</w:t>
            </w:r>
            <w:r/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Вхідна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вода</w:t>
            </w:r>
            <w:r/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Вимоги до очищеної води</w:t>
            </w:r>
            <w:r/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Розрахункові показники очищеної води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24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рН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Од.</w:t>
            </w:r>
            <w:r/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7,0</w:t>
            </w:r>
            <w:r/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6,5-8,5</w:t>
            </w:r>
            <w:r/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7,0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24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Каламутніть</w:t>
            </w: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мг/л</w:t>
            </w:r>
            <w:r/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bCs/>
                <w:sz w:val="24"/>
                <w:szCs w:val="24"/>
              </w:rPr>
              <w:t xml:space="preserve">0,7</w:t>
            </w:r>
            <w:r/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&lt;0,58</w:t>
            </w:r>
            <w:r/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&lt;0,58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24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Забарвленість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град</w:t>
            </w:r>
            <w:r/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21,0</w:t>
            </w:r>
            <w:r/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&lt;20,0</w:t>
            </w:r>
            <w:r/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&lt;20,0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24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Запах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бал</w:t>
            </w:r>
            <w:r/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eastAsia="Arial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&lt;2</w:t>
            </w:r>
            <w:r/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&lt;1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24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Жорсткість загальна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мг-</w:t>
            </w: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екв</w:t>
            </w: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/л</w:t>
            </w:r>
            <w:r/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4,9</w:t>
            </w:r>
            <w:r/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&lt;1,5</w:t>
            </w:r>
            <w:r/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&lt;0,5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24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Залізо 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мг/л</w:t>
            </w:r>
            <w:r/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eastAsia="Arial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bCs/>
                <w:sz w:val="24"/>
                <w:szCs w:val="24"/>
              </w:rPr>
              <w:t xml:space="preserve">0,21</w:t>
            </w:r>
            <w:r/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&lt;0,2</w:t>
            </w:r>
            <w:r/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&lt;0,2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24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Марганець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мг/л</w:t>
            </w:r>
            <w:r/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eastAsia="Arial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bCs/>
                <w:sz w:val="24"/>
                <w:szCs w:val="24"/>
              </w:rPr>
              <w:t xml:space="preserve">0,05</w:t>
            </w:r>
            <w:r/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&lt;0,05</w:t>
            </w:r>
            <w:r/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&lt;0,04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24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Сухий залишок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мг/л</w:t>
            </w:r>
            <w:r/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320,0</w:t>
            </w:r>
            <w:r/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&lt;1000,0</w:t>
            </w:r>
            <w:r/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&lt;350,0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24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Амоній 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мг/л</w:t>
            </w:r>
            <w:r/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0,27</w:t>
            </w:r>
            <w:r/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&lt;0,5</w:t>
            </w:r>
            <w:r/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&lt;0,15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24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Окиснюваність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мгО</w:t>
            </w:r>
            <w:r>
              <w:rPr>
                <w:rFonts w:ascii="Times New Roman" w:hAnsi="Times New Roman" w:eastAsia="Arial" w:cs="Times New Roman"/>
                <w:sz w:val="24"/>
                <w:szCs w:val="24"/>
                <w:vertAlign w:val="subscript"/>
              </w:rPr>
              <w:t xml:space="preserve">2</w:t>
            </w: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/л</w:t>
            </w:r>
            <w:r/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eastAsia="Arial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5,5</w:t>
            </w:r>
            <w:r/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&lt;5,0</w:t>
            </w:r>
            <w:r/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&lt;3,0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24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Лужність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мг-</w:t>
            </w: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екв</w:t>
            </w: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/л</w:t>
            </w:r>
            <w:r/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</w:t>
            </w:r>
            <w:r/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Не нормується</w:t>
            </w:r>
            <w:r/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3,0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24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Нітрати 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мг/л</w:t>
            </w:r>
            <w:r/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0,88</w:t>
            </w:r>
            <w:r/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&lt;50,0</w:t>
            </w:r>
            <w:r/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0,88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24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Кремній 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мг/л</w:t>
            </w:r>
            <w:r/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0,81</w:t>
            </w:r>
            <w:r/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&lt;10,0</w:t>
            </w:r>
            <w:r/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0,81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24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Хлориди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мг/л</w:t>
            </w:r>
            <w:r/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27,0</w:t>
            </w:r>
            <w:r/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&lt;250,0</w:t>
            </w:r>
            <w:r/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27,0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24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Сульфати 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мг/л</w:t>
            </w:r>
            <w:r/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34,0</w:t>
            </w:r>
            <w:r/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&lt;250,0</w:t>
            </w:r>
            <w:r/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34,0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24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Нафтопродукти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мг/л</w:t>
            </w:r>
            <w:r/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&lt;0,1</w:t>
            </w:r>
            <w:r/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&lt;0,1</w:t>
            </w:r>
            <w:r/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ind w:right="320"/>
              <w:jc w:val="right"/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&lt;0,1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24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Інші показники</w:t>
            </w:r>
            <w:r/>
          </w:p>
        </w:tc>
        <w:tc>
          <w:tcPr>
            <w:gridSpan w:val="4"/>
            <w:shd w:val="clear" w:color="auto" w:fill="auto"/>
            <w:tcW w:w="7513" w:type="dxa"/>
            <w:textDirection w:val="lrTb"/>
            <w:noWrap w:val="false"/>
          </w:tcPr>
          <w:p>
            <w:pPr>
              <w:ind w:right="320"/>
              <w:jc w:val="center"/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прийнято згідно </w:t>
            </w: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ДСанПін</w:t>
            </w: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 2.2.4-171-10.</w:t>
            </w:r>
            <w:r/>
          </w:p>
        </w:tc>
      </w:tr>
    </w:tbl>
    <w:p>
      <w:pPr>
        <w:ind w:right="14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Згідно із даними таблиці, вхідна вода характеризується такими понаднормовими показниками, що потребуюсь суттєвої корекції, такі як:</w:t>
      </w:r>
      <w:r/>
    </w:p>
    <w:p>
      <w:pPr>
        <w:pStyle w:val="694"/>
        <w:numPr>
          <w:ilvl w:val="0"/>
          <w:numId w:val="23"/>
        </w:numPr>
        <w:ind w:right="14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Каламутність та Забарвленість; </w:t>
      </w:r>
      <w:r/>
    </w:p>
    <w:p>
      <w:pPr>
        <w:pStyle w:val="694"/>
        <w:numPr>
          <w:ilvl w:val="0"/>
          <w:numId w:val="23"/>
        </w:numPr>
        <w:ind w:right="14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Залізо та марганець;</w:t>
      </w:r>
      <w:r/>
    </w:p>
    <w:p>
      <w:pPr>
        <w:pStyle w:val="694"/>
        <w:numPr>
          <w:ilvl w:val="0"/>
          <w:numId w:val="23"/>
        </w:numPr>
        <w:ind w:right="14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Загальна жорсткість;</w:t>
      </w:r>
      <w:r/>
    </w:p>
    <w:p>
      <w:pPr>
        <w:pStyle w:val="694"/>
        <w:numPr>
          <w:ilvl w:val="0"/>
          <w:numId w:val="23"/>
        </w:numPr>
        <w:ind w:right="14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Окиснюваність.</w:t>
      </w:r>
      <w:r/>
    </w:p>
    <w:p>
      <w:pPr>
        <w:ind w:right="28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281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ТЕХНОЛОГІЧНА СХЕМА</w:t>
      </w:r>
      <w:r/>
    </w:p>
    <w:p>
      <w:pPr>
        <w:ind w:right="281"/>
        <w:jc w:val="center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(Примірна, коригується Учасником)</w:t>
      </w:r>
      <w:r/>
    </w:p>
    <w:p>
      <w:pPr>
        <w:ind w:right="28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323850</wp:posOffset>
                </wp:positionH>
                <wp:positionV relativeFrom="paragraph">
                  <wp:posOffset>325120</wp:posOffset>
                </wp:positionV>
                <wp:extent cx="7076319" cy="4514850"/>
                <wp:effectExtent l="0" t="0" r="0" b="0"/>
                <wp:wrapNone/>
                <wp:docPr id="1" name="Рисунок 1" descr="Изображение выглядит как текст, диаграмма, План, рисунок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4005538" name="Рисунок 1" descr="Изображение выглядит как текст, диаграмма, План, рисунок&#10;&#10;Автоматически созданное описание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7110379" cy="45365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page;margin-left:25.5pt;mso-position-horizontal:absolute;mso-position-vertical-relative:text;margin-top:25.6pt;mso-position-vertical:absolute;width:557.2pt;height:355.5pt;mso-wrap-distance-left:9.0pt;mso-wrap-distance-top:0.0pt;mso-wrap-distance-right:9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ind w:right="28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28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28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28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28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28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28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28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28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28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28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28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28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28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28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28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28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28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28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94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pStyle w:val="694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pStyle w:val="694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pStyle w:val="694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pStyle w:val="694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pStyle w:val="694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pStyle w:val="694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pStyle w:val="694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pStyle w:val="694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pStyle w:val="694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94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W w:w="9671" w:type="dxa"/>
        <w:tblLook w:val="04A0" w:firstRow="1" w:lastRow="0" w:firstColumn="1" w:lastColumn="0" w:noHBand="0" w:noVBand="1"/>
      </w:tblPr>
      <w:tblGrid>
        <w:gridCol w:w="715"/>
        <w:gridCol w:w="6567"/>
        <w:gridCol w:w="1129"/>
        <w:gridCol w:w="1260"/>
      </w:tblGrid>
      <w:tr>
        <w:trPr>
          <w:trHeight w:val="46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Вулична огорожа (дообладнання),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 складі: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1</w:t>
            </w:r>
            <w:r/>
          </w:p>
        </w:tc>
      </w:tr>
      <w:tr>
        <w:trPr>
          <w:trHeight w:val="3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Фільтр механічного очищення води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Arkal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Super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</w:t>
            </w:r>
            <w:r/>
          </w:p>
        </w:tc>
      </w:tr>
      <w:tr>
        <w:trPr>
          <w:trHeight w:val="3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комплексного очищення води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Ecosoft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FK1465С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TWIN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</w:t>
            </w:r>
            <w:r/>
          </w:p>
        </w:tc>
      </w:tr>
      <w:tr>
        <w:trPr>
          <w:trHeight w:val="3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таблетована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Ecosil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/>
          </w:p>
        </w:tc>
      </w:tr>
      <w:tr>
        <w:trPr>
          <w:trHeight w:val="3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Фільтр тонкого механічного очищення води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Ecosoft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263 250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двісті шістдесят три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тисяч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двісті п’ятдесят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9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67" w:hanging="20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5321" w:hanging="360"/>
      </w:pPr>
      <w:rPr>
        <w:rFonts w:hint="default" w:ascii="Times New Roman" w:hAnsi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67" w:hanging="207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7"/>
  </w:num>
  <w:num w:numId="2">
    <w:abstractNumId w:val="12"/>
  </w:num>
  <w:num w:numId="3">
    <w:abstractNumId w:val="5"/>
  </w:num>
  <w:num w:numId="4">
    <w:abstractNumId w:val="14"/>
  </w:num>
  <w:num w:numId="5">
    <w:abstractNumId w:val="4"/>
  </w:num>
  <w:num w:numId="6">
    <w:abstractNumId w:val="18"/>
  </w:num>
  <w:num w:numId="7">
    <w:abstractNumId w:val="8"/>
  </w:num>
  <w:num w:numId="8">
    <w:abstractNumId w:val="20"/>
  </w:num>
  <w:num w:numId="9">
    <w:abstractNumId w:val="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9"/>
  </w:num>
  <w:num w:numId="17">
    <w:abstractNumId w:val="0"/>
  </w:num>
  <w:num w:numId="18">
    <w:abstractNumId w:val="21"/>
  </w:num>
  <w:num w:numId="19">
    <w:abstractNumId w:val="15"/>
  </w:num>
  <w:num w:numId="20">
    <w:abstractNumId w:val="10"/>
  </w:num>
  <w:num w:numId="21">
    <w:abstractNumId w:val="13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9"/>
    <w:next w:val="689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91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91"/>
    <w:link w:val="690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9"/>
    <w:next w:val="689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9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9"/>
    <w:next w:val="689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9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9"/>
    <w:next w:val="689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9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9"/>
    <w:next w:val="689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9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9"/>
    <w:next w:val="689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9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9"/>
    <w:next w:val="689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9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9"/>
    <w:next w:val="689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9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9"/>
    <w:next w:val="689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91"/>
    <w:link w:val="33"/>
    <w:uiPriority w:val="10"/>
    <w:rPr>
      <w:sz w:val="48"/>
      <w:szCs w:val="48"/>
    </w:rPr>
  </w:style>
  <w:style w:type="paragraph" w:styleId="35">
    <w:name w:val="Subtitle"/>
    <w:basedOn w:val="689"/>
    <w:next w:val="689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91"/>
    <w:link w:val="35"/>
    <w:uiPriority w:val="11"/>
    <w:rPr>
      <w:sz w:val="24"/>
      <w:szCs w:val="24"/>
    </w:rPr>
  </w:style>
  <w:style w:type="paragraph" w:styleId="37">
    <w:name w:val="Quote"/>
    <w:basedOn w:val="689"/>
    <w:next w:val="689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9"/>
    <w:next w:val="689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9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91"/>
    <w:link w:val="41"/>
    <w:uiPriority w:val="99"/>
  </w:style>
  <w:style w:type="character" w:styleId="44">
    <w:name w:val="Footer Char"/>
    <w:basedOn w:val="691"/>
    <w:link w:val="700"/>
    <w:uiPriority w:val="99"/>
  </w:style>
  <w:style w:type="paragraph" w:styleId="45">
    <w:name w:val="Caption"/>
    <w:basedOn w:val="689"/>
    <w:next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00"/>
    <w:uiPriority w:val="99"/>
  </w:style>
  <w:style w:type="table" w:styleId="48">
    <w:name w:val="Table Grid Light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9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91"/>
    <w:uiPriority w:val="99"/>
    <w:unhideWhenUsed/>
    <w:rPr>
      <w:vertAlign w:val="superscript"/>
    </w:rPr>
  </w:style>
  <w:style w:type="paragraph" w:styleId="177">
    <w:name w:val="endnote text"/>
    <w:basedOn w:val="689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91"/>
    <w:uiPriority w:val="99"/>
    <w:semiHidden/>
    <w:unhideWhenUsed/>
    <w:rPr>
      <w:vertAlign w:val="superscript"/>
    </w:rPr>
  </w:style>
  <w:style w:type="paragraph" w:styleId="180">
    <w:name w:val="toc 1"/>
    <w:basedOn w:val="689"/>
    <w:next w:val="689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9"/>
    <w:next w:val="689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9"/>
    <w:next w:val="689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9"/>
    <w:next w:val="689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9"/>
    <w:next w:val="689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9"/>
    <w:next w:val="689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9"/>
    <w:next w:val="689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9"/>
    <w:next w:val="689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9"/>
    <w:next w:val="689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9"/>
    <w:next w:val="689"/>
    <w:uiPriority w:val="99"/>
    <w:unhideWhenUsed/>
    <w:pPr>
      <w:spacing w:after="0" w:afterAutospacing="0"/>
    </w:pPr>
  </w:style>
  <w:style w:type="paragraph" w:styleId="689" w:default="1">
    <w:name w:val="Normal"/>
    <w:qFormat/>
    <w:rPr>
      <w:lang w:val="uk-UA"/>
    </w:rPr>
  </w:style>
  <w:style w:type="paragraph" w:styleId="690">
    <w:name w:val="Heading 2"/>
    <w:basedOn w:val="689"/>
    <w:link w:val="709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paragraph" w:styleId="694">
    <w:name w:val="List Paragraph"/>
    <w:basedOn w:val="689"/>
    <w:link w:val="69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95" w:customStyle="1">
    <w:name w:val="Абзац списку Знак"/>
    <w:link w:val="694"/>
    <w:uiPriority w:val="34"/>
    <w:rPr>
      <w:rFonts w:ascii="Calibri" w:hAnsi="Calibri" w:eastAsia="Calibri" w:cs="Calibri"/>
      <w:lang w:eastAsia="zh-CN"/>
    </w:rPr>
  </w:style>
  <w:style w:type="table" w:styleId="696">
    <w:name w:val="Table Grid"/>
    <w:basedOn w:val="69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7" w:customStyle="1">
    <w:name w:val="Сетка таблицы2"/>
    <w:basedOn w:val="692"/>
    <w:next w:val="696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8">
    <w:name w:val="Normal (Web)"/>
    <w:basedOn w:val="689"/>
    <w:link w:val="705"/>
    <w:unhideWhenUsed/>
    <w:qFormat/>
    <w:rPr>
      <w:rFonts w:ascii="Times New Roman" w:hAnsi="Times New Roman" w:cs="Times New Roman"/>
      <w:sz w:val="24"/>
      <w:szCs w:val="24"/>
    </w:rPr>
  </w:style>
  <w:style w:type="table" w:styleId="699" w:customStyle="1">
    <w:name w:val="Сетка таблицы1"/>
    <w:basedOn w:val="692"/>
    <w:next w:val="696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0">
    <w:name w:val="Footer"/>
    <w:basedOn w:val="689"/>
    <w:link w:val="701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01" w:customStyle="1">
    <w:name w:val="Нижній колонтитул Знак"/>
    <w:basedOn w:val="691"/>
    <w:link w:val="700"/>
    <w:uiPriority w:val="99"/>
    <w:rPr>
      <w:rFonts w:ascii="Calibri" w:hAnsi="Calibri" w:eastAsia="Calibri" w:cs="Calibri"/>
      <w:lang w:eastAsia="zh-CN"/>
    </w:rPr>
  </w:style>
  <w:style w:type="paragraph" w:styleId="702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03">
    <w:name w:val="Hyperlink"/>
    <w:basedOn w:val="691"/>
    <w:uiPriority w:val="99"/>
    <w:unhideWhenUsed/>
    <w:rPr>
      <w:color w:val="0563c1" w:themeColor="hyperlink"/>
      <w:u w:val="single"/>
    </w:rPr>
  </w:style>
  <w:style w:type="character" w:styleId="704" w:customStyle="1">
    <w:name w:val="xfm_93972720"/>
    <w:basedOn w:val="691"/>
  </w:style>
  <w:style w:type="character" w:styleId="705" w:customStyle="1">
    <w:name w:val="Звичайний (веб) Знак"/>
    <w:link w:val="698"/>
    <w:qFormat/>
    <w:rPr>
      <w:rFonts w:ascii="Times New Roman" w:hAnsi="Times New Roman" w:cs="Times New Roman"/>
      <w:sz w:val="24"/>
      <w:szCs w:val="24"/>
      <w:lang w:val="uk-UA"/>
    </w:rPr>
  </w:style>
  <w:style w:type="paragraph" w:styleId="706">
    <w:name w:val="Body Text 2"/>
    <w:basedOn w:val="689"/>
    <w:link w:val="707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7" w:customStyle="1">
    <w:name w:val="Основний текст 2 Знак"/>
    <w:basedOn w:val="691"/>
    <w:link w:val="70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8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9" w:customStyle="1">
    <w:name w:val="Заголовок 2 Знак"/>
    <w:basedOn w:val="691"/>
    <w:link w:val="690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10">
    <w:name w:val="No Spacing"/>
    <w:link w:val="711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11" w:customStyle="1">
    <w:name w:val="Без інтервалів Знак"/>
    <w:basedOn w:val="691"/>
    <w:link w:val="710"/>
    <w:uiPriority w:val="1"/>
    <w:rPr>
      <w:rFonts w:ascii="Calibri" w:hAnsi="Calibri" w:eastAsia="Calibri" w:cs="Times New Roman"/>
      <w:lang w:val="uk-UA"/>
    </w:rPr>
  </w:style>
  <w:style w:type="character" w:styleId="712" w:customStyle="1">
    <w:name w:val="Другое_"/>
    <w:basedOn w:val="691"/>
    <w:link w:val="713"/>
    <w:rPr>
      <w:rFonts w:ascii="Calibri" w:hAnsi="Calibri" w:eastAsia="Calibri" w:cs="Calibri"/>
      <w:sz w:val="20"/>
      <w:szCs w:val="20"/>
    </w:rPr>
  </w:style>
  <w:style w:type="paragraph" w:styleId="713" w:customStyle="1">
    <w:name w:val="Другое"/>
    <w:basedOn w:val="689"/>
    <w:link w:val="712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14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15" w:customStyle="1">
    <w:name w:val="Основной текст (2)_"/>
    <w:basedOn w:val="691"/>
    <w:link w:val="716"/>
    <w:rPr>
      <w:rFonts w:eastAsia="Times New Roman" w:cs="Times New Roman"/>
      <w:shd w:val="clear" w:color="auto" w:fill="ffffff"/>
    </w:rPr>
  </w:style>
  <w:style w:type="paragraph" w:styleId="716" w:customStyle="1">
    <w:name w:val="Основной текст (2)"/>
    <w:basedOn w:val="689"/>
    <w:link w:val="715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table" w:styleId="717" w:customStyle="1">
    <w:name w:val="Сітка таблиці1"/>
    <w:pPr>
      <w:spacing w:after="0" w:line="240" w:lineRule="auto"/>
    </w:pPr>
    <w:rPr>
      <w:rFonts w:eastAsiaTheme="minorEastAsia"/>
      <w:lang w:val="uk-UA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18" w:customStyle="1">
    <w:name w:val="rvps6"/>
    <w:basedOn w:val="689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137</cp:revision>
  <dcterms:created xsi:type="dcterms:W3CDTF">2022-11-01T12:47:00Z</dcterms:created>
  <dcterms:modified xsi:type="dcterms:W3CDTF">2023-08-18T08:39:49Z</dcterms:modified>
</cp:coreProperties>
</file>