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706"/>
        <w:jc w:val="both"/>
        <w:spacing w:before="0" w:beforeAutospacing="0" w:after="0" w:afterAutospacing="0"/>
        <w:shd w:val="clear" w:color="auto" w:fill="ffffff" w:themeFill="background1"/>
        <w:rPr>
          <w:color w:val="585858"/>
          <w:sz w:val="24"/>
          <w:szCs w:val="24"/>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r>
        <w:rPr>
          <w:b w:val="0"/>
          <w:bCs w:val="0"/>
          <w:sz w:val="24"/>
          <w:szCs w:val="24"/>
        </w:rPr>
        <w:t xml:space="preserve">Закупівля палива в талонах за кодом CPV за ЄЗС ДК 021:2015: 09130000-9 «Нафта і дистиляти»</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t xml:space="preserve">05</w:t>
      </w:r>
      <w:r>
        <w:rPr>
          <w:rFonts w:ascii="Times New Roman" w:hAnsi="Times New Roman" w:cs="Times New Roman"/>
          <w:sz w:val="24"/>
          <w:szCs w:val="24"/>
        </w:rPr>
        <w:t xml:space="preserve">-</w:t>
      </w:r>
      <w:r>
        <w:rPr>
          <w:rFonts w:ascii="Times New Roman" w:hAnsi="Times New Roman" w:cs="Times New Roman"/>
          <w:sz w:val="24"/>
          <w:szCs w:val="24"/>
        </w:rPr>
        <w:t xml:space="preserve">00</w:t>
      </w:r>
      <w:r>
        <w:rPr>
          <w:rFonts w:ascii="Times New Roman" w:hAnsi="Times New Roman" w:cs="Times New Roman"/>
          <w:sz w:val="24"/>
          <w:szCs w:val="24"/>
        </w:rPr>
        <w:t xml:space="preserve">6363</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pStyle w:val="706"/>
        <w:jc w:val="both"/>
        <w:spacing w:before="0" w:beforeAutospacing="0" w:after="0" w:afterAutospacing="0"/>
        <w:shd w:val="clear" w:color="auto" w:fill="ffffff" w:themeFill="background1"/>
        <w:rPr>
          <w:color w:val="585858"/>
          <w:sz w:val="24"/>
          <w:szCs w:val="24"/>
        </w:rPr>
      </w:pPr>
      <w:r>
        <w:rPr>
          <w:sz w:val="24"/>
          <w:lang w:eastAsia="ru-RU"/>
        </w:rPr>
        <w:t xml:space="preserve">4. Обґрунтування технічних та якісних </w:t>
      </w:r>
      <w:r>
        <w:rPr>
          <w:sz w:val="24"/>
          <w:lang w:eastAsia="ru-RU"/>
        </w:rPr>
        <w:t xml:space="preserve">характеристик предмета закупівлі: </w:t>
      </w:r>
      <w:r>
        <w:rPr>
          <w:sz w:val="24"/>
          <w:lang w:eastAsia="ru-RU"/>
        </w:rPr>
        <w:t xml:space="preserve"> </w:t>
      </w:r>
      <w:bookmarkStart w:id="0" w:name="_Hlk133583335"/>
      <w:r>
        <w:rPr>
          <w:b w:val="0"/>
          <w:bCs w:val="0"/>
          <w:sz w:val="24"/>
          <w:szCs w:val="24"/>
        </w:rPr>
        <w:t xml:space="preserve">Закупівля палива в талонах за кодом CPV за ЄЗС ДК 021:2015: 09130000-9 «Нафта і дистиляти»</w:t>
      </w:r>
      <w:r/>
    </w:p>
    <w:p>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bookmarkEnd w:id="0"/>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both"/>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W w:w="978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5"/>
        <w:gridCol w:w="2551"/>
        <w:gridCol w:w="1418"/>
        <w:gridCol w:w="992"/>
        <w:gridCol w:w="4394"/>
      </w:tblGrid>
      <w:tr>
        <w:trPr>
          <w:trHeight w:val="716"/>
        </w:trPr>
        <w:tc>
          <w:tcPr>
            <w:tcBorders>
              <w:top w:val="single" w:color="auto" w:sz="4" w:space="0"/>
              <w:left w:val="single" w:color="auto" w:sz="4" w:space="0"/>
              <w:bottom w:val="single" w:color="auto" w:sz="4" w:space="0"/>
              <w:right w:val="single" w:color="auto" w:sz="4" w:space="0"/>
            </w:tcBorders>
            <w:tcW w:w="426" w:type="dxa"/>
            <w:vAlign w:val="center"/>
            <w:textDirection w:val="lrTb"/>
            <w:noWrap/>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w:t>
            </w:r>
            <w:r/>
          </w:p>
        </w:tc>
        <w:tc>
          <w:tcPr>
            <w:tcBorders>
              <w:top w:val="single" w:color="auto" w:sz="4" w:space="0"/>
              <w:left w:val="single" w:color="auto" w:sz="4" w:space="0"/>
              <w:bottom w:val="single" w:color="auto" w:sz="4" w:space="0"/>
              <w:right w:val="single" w:color="auto" w:sz="4" w:space="0"/>
            </w:tcBorders>
            <w:tcW w:w="2551" w:type="dxa"/>
            <w:vAlign w:val="center"/>
            <w:textDirection w:val="lrTb"/>
            <w:noWrap w:val="false"/>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Найменування</w:t>
            </w:r>
            <w:r/>
          </w:p>
        </w:tc>
        <w:tc>
          <w:tcPr>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Одиниця виміру</w:t>
            </w: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Кількість</w:t>
            </w:r>
            <w:r/>
          </w:p>
        </w:tc>
        <w:tc>
          <w:tcPr>
            <w:tcBorders>
              <w:top w:val="single" w:color="auto" w:sz="4" w:space="0"/>
              <w:left w:val="single" w:color="auto" w:sz="4" w:space="0"/>
              <w:bottom w:val="single" w:color="auto" w:sz="4" w:space="0"/>
              <w:right w:val="single" w:color="auto" w:sz="4" w:space="0"/>
            </w:tcBorders>
            <w:tcW w:w="4394" w:type="dxa"/>
            <w:vAlign w:val="center"/>
            <w:textDirection w:val="lrTb"/>
            <w:noWrap w:val="false"/>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Відповідність ДСТУ</w:t>
            </w:r>
            <w:r/>
          </w:p>
        </w:tc>
      </w:tr>
      <w:tr>
        <w:trPr>
          <w:trHeight w:val="480"/>
        </w:trPr>
        <w:tc>
          <w:tcPr>
            <w:tcBorders>
              <w:top w:val="single" w:color="auto" w:sz="4" w:space="0"/>
              <w:left w:val="single" w:color="auto" w:sz="4" w:space="0"/>
              <w:bottom w:val="single" w:color="auto" w:sz="4" w:space="0"/>
              <w:right w:val="single" w:color="auto" w:sz="4" w:space="0"/>
            </w:tcBorders>
            <w:tcW w:w="426" w:type="dxa"/>
            <w:vAlign w:val="center"/>
            <w:textDirection w:val="lrTb"/>
            <w:noWrap/>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1</w:t>
            </w: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jc w:val="both"/>
              <w:spacing w:after="0" w:line="240" w:lineRule="auto"/>
              <w:rPr>
                <w:rFonts w:ascii="Times New Roman" w:hAnsi="Times New Roman" w:cs="Times New Roman"/>
                <w:b/>
                <w:sz w:val="24"/>
                <w:szCs w:val="24"/>
              </w:rPr>
              <w:outlineLvl w:val="1"/>
            </w:pPr>
            <w:r>
              <w:rPr>
                <w:rFonts w:ascii="Times New Roman" w:hAnsi="Times New Roman" w:cs="Times New Roman"/>
                <w:b/>
                <w:bCs/>
                <w:sz w:val="24"/>
                <w:szCs w:val="24"/>
              </w:rPr>
              <w:t xml:space="preserve">Бензин марки А-95 в талонах</w:t>
            </w:r>
            <w:r/>
          </w:p>
        </w:tc>
        <w:tc>
          <w:tcPr>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л.</w:t>
            </w: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4 000</w:t>
            </w:r>
            <w:r/>
          </w:p>
        </w:tc>
        <w:tc>
          <w:tcPr>
            <w:tcBorders>
              <w:top w:val="single" w:color="auto" w:sz="4" w:space="0"/>
              <w:left w:val="single" w:color="auto" w:sz="4" w:space="0"/>
              <w:bottom w:val="single" w:color="auto" w:sz="4" w:space="0"/>
              <w:right w:val="single" w:color="auto" w:sz="4" w:space="0"/>
            </w:tcBorders>
            <w:tcW w:w="439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ДСТУ 3868-99 та/або ДСТУ 4840:2007 та/або ДСТУ 7688:2015</w:t>
            </w:r>
            <w:r/>
          </w:p>
        </w:tc>
      </w:tr>
      <w:tr>
        <w:trPr>
          <w:trHeight w:val="480"/>
        </w:trPr>
        <w:tc>
          <w:tcPr>
            <w:tcBorders>
              <w:top w:val="single" w:color="auto" w:sz="4" w:space="0"/>
              <w:left w:val="single" w:color="auto" w:sz="4" w:space="0"/>
              <w:bottom w:val="single" w:color="auto" w:sz="4" w:space="0"/>
              <w:right w:val="single" w:color="auto" w:sz="4" w:space="0"/>
            </w:tcBorders>
            <w:tcW w:w="426" w:type="dxa"/>
            <w:vAlign w:val="center"/>
            <w:textDirection w:val="lrTb"/>
            <w:noWrap/>
          </w:tcPr>
          <w:p>
            <w:pPr>
              <w:jc w:val="both"/>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w:t>
            </w:r>
            <w:r/>
          </w:p>
        </w:tc>
        <w:tc>
          <w:tcPr>
            <w:tcBorders>
              <w:top w:val="single" w:color="auto" w:sz="4" w:space="0"/>
              <w:left w:val="single" w:color="auto" w:sz="4" w:space="0"/>
              <w:bottom w:val="single" w:color="auto" w:sz="4" w:space="0"/>
              <w:right w:val="single" w:color="auto" w:sz="4" w:space="0"/>
            </w:tcBorders>
            <w:tcW w:w="2551" w:type="dxa"/>
            <w:textDirection w:val="lrTb"/>
            <w:noWrap w:val="false"/>
          </w:tcPr>
          <w:p>
            <w:pPr>
              <w:jc w:val="both"/>
              <w:spacing w:after="0" w:line="240" w:lineRule="auto"/>
              <w:rPr>
                <w:rFonts w:ascii="Times New Roman" w:hAnsi="Times New Roman" w:cs="Times New Roman"/>
                <w:b/>
                <w:sz w:val="24"/>
                <w:szCs w:val="24"/>
              </w:rPr>
              <w:outlineLvl w:val="1"/>
            </w:pPr>
            <w:r>
              <w:rPr>
                <w:rFonts w:ascii="Times New Roman" w:hAnsi="Times New Roman" w:cs="Times New Roman"/>
                <w:b/>
                <w:bCs/>
                <w:sz w:val="24"/>
                <w:szCs w:val="24"/>
              </w:rPr>
              <w:t xml:space="preserve">Дизельне паливо в талонах</w:t>
            </w:r>
            <w:r/>
          </w:p>
        </w:tc>
        <w:tc>
          <w:tcPr>
            <w:tcBorders>
              <w:top w:val="single" w:color="auto" w:sz="4" w:space="0"/>
              <w:left w:val="single" w:color="auto" w:sz="4" w:space="0"/>
              <w:bottom w:val="single" w:color="auto" w:sz="4" w:space="0"/>
              <w:right w:val="single" w:color="auto" w:sz="4" w:space="0"/>
            </w:tcBorders>
            <w:tcW w:w="1418" w:type="dxa"/>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л.</w:t>
            </w:r>
            <w:r/>
          </w:p>
        </w:tc>
        <w:tc>
          <w:tcPr>
            <w:tcBorders>
              <w:top w:val="single" w:color="auto" w:sz="4" w:space="0"/>
              <w:left w:val="single" w:color="auto" w:sz="4" w:space="0"/>
              <w:bottom w:val="single" w:color="auto" w:sz="4" w:space="0"/>
              <w:right w:val="single" w:color="auto" w:sz="4" w:space="0"/>
            </w:tcBorders>
            <w:tcW w:w="992" w:type="dxa"/>
            <w:vAlign w:val="center"/>
            <w:textDirection w:val="lrTb"/>
            <w:noWrap w:val="false"/>
          </w:tcPr>
          <w:p>
            <w:pPr>
              <w:jc w:val="both"/>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2 000</w:t>
            </w:r>
            <w:r/>
          </w:p>
        </w:tc>
        <w:tc>
          <w:tcPr>
            <w:tcBorders>
              <w:top w:val="single" w:color="auto" w:sz="4" w:space="0"/>
              <w:left w:val="single" w:color="auto" w:sz="4" w:space="0"/>
              <w:bottom w:val="single" w:color="auto" w:sz="4" w:space="0"/>
              <w:right w:val="single" w:color="auto" w:sz="4" w:space="0"/>
            </w:tcBorders>
            <w:tcW w:w="4394" w:type="dxa"/>
            <w:textDirection w:val="lrTb"/>
            <w:noWrap w:val="false"/>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ДСТУ 3868-99 та/або ДСТУ 4840:2007 та/або ДСТУ 7688:2015</w:t>
            </w:r>
            <w:r/>
          </w:p>
        </w:tc>
      </w:tr>
      <w:tr>
        <w:trPr>
          <w:trHeight w:val="102"/>
        </w:trPr>
        <w:tc>
          <w:tcPr>
            <w:gridSpan w:val="5"/>
            <w:tcBorders>
              <w:top w:val="single" w:color="auto" w:sz="4" w:space="0"/>
              <w:left w:val="single" w:color="auto" w:sz="4" w:space="0"/>
              <w:bottom w:val="single" w:color="auto" w:sz="4" w:space="0"/>
              <w:right w:val="single" w:color="auto" w:sz="4" w:space="0"/>
            </w:tcBorders>
            <w:tcW w:w="9781" w:type="dxa"/>
            <w:vAlign w:val="center"/>
            <w:textDirection w:val="lrTb"/>
            <w:noWrap/>
          </w:tcPr>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Талони номіналом 10</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л.</w:t>
            </w:r>
            <w:r/>
          </w:p>
        </w:tc>
      </w:tr>
    </w:tbl>
    <w:p>
      <w:pPr>
        <w:ind w:firstLine="709"/>
        <w:jc w:val="both"/>
        <w:spacing w:after="0" w:line="240" w:lineRule="auto"/>
        <w:rPr>
          <w:rFonts w:ascii="Times New Roman" w:hAnsi="Times New Roman" w:eastAsia="Times New Roman" w:cs="Times New Roman"/>
          <w:b/>
          <w:iCs/>
          <w:sz w:val="24"/>
          <w:szCs w:val="24"/>
          <w:lang w:eastAsia="uk-UA"/>
        </w:rPr>
      </w:pPr>
      <w:r>
        <w:rPr>
          <w:rFonts w:ascii="Times New Roman" w:hAnsi="Times New Roman" w:eastAsia="Times New Roman" w:cs="Times New Roman"/>
          <w:b/>
          <w:iCs/>
          <w:sz w:val="24"/>
          <w:szCs w:val="24"/>
          <w:lang w:eastAsia="uk-UA"/>
        </w:rPr>
      </w:r>
      <w:r/>
    </w:p>
    <w:p>
      <w:pPr>
        <w:jc w:val="both"/>
        <w:spacing w:after="0" w:line="240" w:lineRule="auto"/>
        <w:rPr>
          <w:rFonts w:ascii="Times New Roman" w:hAnsi="Times New Roman" w:cs="Times New Roman"/>
          <w:b/>
          <w:i/>
          <w:sz w:val="24"/>
          <w:szCs w:val="24"/>
          <w:lang w:eastAsia="uk-UA"/>
        </w:rPr>
      </w:pPr>
      <w:r>
        <w:rPr>
          <w:rFonts w:ascii="Times New Roman" w:hAnsi="Times New Roman" w:cs="Times New Roman"/>
          <w:b/>
          <w:i/>
          <w:sz w:val="24"/>
          <w:szCs w:val="24"/>
          <w:lang w:eastAsia="uk-UA"/>
        </w:rPr>
        <w:t xml:space="preserve">Технічні та якісні характеристики предмета закупівлі (пропонованого Учаснико</w:t>
      </w:r>
      <w:r>
        <w:rPr>
          <w:rFonts w:ascii="Times New Roman" w:hAnsi="Times New Roman" w:cs="Times New Roman"/>
          <w:b/>
          <w:i/>
          <w:sz w:val="24"/>
          <w:szCs w:val="24"/>
          <w:lang w:eastAsia="uk-UA"/>
        </w:rPr>
        <w:t xml:space="preserve">м товару) повинні відповідати вимогам діючого законодавства України, у тому числі Технічного регламенту щодо вимог до автомобільних бензинів, дизельного, суднових та котельних палив, затвердженого постановою Кабінету Міністрів України від 01.08.2013 № 927.</w:t>
      </w:r>
      <w:r/>
    </w:p>
    <w:p>
      <w:pPr>
        <w:jc w:val="both"/>
        <w:spacing w:after="0" w:line="240" w:lineRule="auto"/>
        <w:rPr>
          <w:rFonts w:ascii="Times New Roman" w:hAnsi="Times New Roman" w:cs="Times New Roman"/>
          <w:b/>
          <w:i/>
          <w:sz w:val="24"/>
          <w:szCs w:val="24"/>
          <w:lang w:eastAsia="uk-UA"/>
        </w:rPr>
      </w:pPr>
      <w:r>
        <w:rPr>
          <w:rFonts w:ascii="Times New Roman" w:hAnsi="Times New Roman" w:cs="Times New Roman"/>
          <w:b/>
          <w:i/>
          <w:sz w:val="24"/>
          <w:szCs w:val="24"/>
          <w:lang w:eastAsia="uk-UA"/>
        </w:rPr>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Термін поставки – протягом дії договору.</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Технічні та якісні вимоги до Товару повинні відповідати Технічному регламенту щодо вимог до автомобільних бензинів, суднових та котельних палив, затвердженого ПКМУ від 01.08.2013 року № 927.</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Талони/паливні картки повинні бути номіналом по 10 літрів. </w:t>
      </w:r>
      <w:r/>
    </w:p>
    <w:p>
      <w:pPr>
        <w:ind w:firstLine="709"/>
        <w:jc w:val="both"/>
        <w:spacing w:after="0" w:line="240" w:lineRule="auto"/>
        <w:rPr>
          <w:rFonts w:ascii="Times New Roman" w:hAnsi="Times New Roman" w:cs="Times New Roman"/>
          <w:b/>
          <w:bCs/>
          <w:sz w:val="24"/>
          <w:szCs w:val="24"/>
          <w:lang w:eastAsia="ru-RU"/>
        </w:rPr>
      </w:pPr>
      <w:r>
        <w:rPr>
          <w:rFonts w:ascii="Times New Roman" w:hAnsi="Times New Roman" w:cs="Times New Roman"/>
          <w:sz w:val="24"/>
          <w:szCs w:val="24"/>
        </w:rPr>
        <w:t xml:space="preserve">Термін дії </w:t>
      </w:r>
      <w:r>
        <w:rPr>
          <w:rFonts w:ascii="Times New Roman" w:hAnsi="Times New Roman" w:cs="Times New Roman"/>
          <w:sz w:val="24"/>
          <w:szCs w:val="24"/>
          <w:lang w:eastAsia="uk-UA"/>
        </w:rPr>
        <w:t xml:space="preserve">талонів/паливних карток</w:t>
      </w:r>
      <w:r>
        <w:rPr>
          <w:rFonts w:ascii="Times New Roman" w:hAnsi="Times New Roman" w:cs="Times New Roman"/>
          <w:sz w:val="24"/>
          <w:szCs w:val="24"/>
        </w:rPr>
        <w:t xml:space="preserve"> повинен складати не менше шести місяців з дати отримання, невикористані талони після закінчення терміну їх дії повинні продовжуватися </w:t>
      </w:r>
      <w:r>
        <w:rPr>
          <w:rFonts w:ascii="Times New Roman" w:hAnsi="Times New Roman" w:cs="Times New Roman"/>
          <w:b/>
          <w:bCs/>
          <w:sz w:val="24"/>
          <w:szCs w:val="24"/>
        </w:rPr>
        <w:t xml:space="preserve">(надати гарантійний лист).</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Паливо повинно відповідати температурному режиму експлуатації транспортних засобів в регіонах України. В зимовий період дизельне паливо повинне відповідати температурному режиму і бути не менше -35°C </w:t>
      </w:r>
      <w:r>
        <w:rPr>
          <w:rFonts w:ascii="Times New Roman" w:hAnsi="Times New Roman" w:cs="Times New Roman"/>
          <w:b/>
          <w:bCs/>
          <w:sz w:val="24"/>
          <w:szCs w:val="24"/>
          <w:lang w:val="uk-UA"/>
        </w:rPr>
        <w:t xml:space="preserve">(надати гарантійний лист).</w:t>
      </w:r>
      <w:r>
        <w:rPr>
          <w:rFonts w:ascii="Times New Roman" w:hAnsi="Times New Roman" w:cs="Times New Roman"/>
          <w:color w:val="auto"/>
          <w:sz w:val="24"/>
          <w:szCs w:val="24"/>
          <w:lang w:val="uk-UA" w:eastAsia="uk-UA"/>
        </w:rPr>
        <w:t xml:space="preserve"> </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Відпуск Товару Замовнику здійснюється цілодобово по довірчим документам (талонам/паливним карткам) на АЗС Постачальника в м. Києві, Київській області та в кожній області України за виключенням окупованих територій</w:t>
      </w:r>
      <w:r>
        <w:rPr>
          <w:rFonts w:ascii="Times New Roman" w:hAnsi="Times New Roman" w:cs="Times New Roman"/>
          <w:b/>
          <w:bCs/>
          <w:sz w:val="24"/>
          <w:szCs w:val="24"/>
          <w:lang w:val="uk-UA"/>
        </w:rPr>
        <w:t xml:space="preserve"> (надати гарантійний лист).</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Талони/паливні картки - повинні бути універсальні пластикові або картонні (паперові) картки з вбудованим в неї </w:t>
      </w:r>
      <w:r>
        <w:rPr>
          <w:rFonts w:ascii="Times New Roman" w:hAnsi="Times New Roman" w:cs="Times New Roman"/>
          <w:color w:val="auto"/>
          <w:sz w:val="24"/>
          <w:szCs w:val="24"/>
          <w:lang w:val="uk-UA" w:eastAsia="uk-UA"/>
        </w:rPr>
        <w:t xml:space="preserve">мікрочіпом</w:t>
      </w:r>
      <w:r>
        <w:rPr>
          <w:rFonts w:ascii="Times New Roman" w:hAnsi="Times New Roman" w:cs="Times New Roman"/>
          <w:color w:val="auto"/>
          <w:sz w:val="24"/>
          <w:szCs w:val="24"/>
          <w:lang w:val="uk-UA" w:eastAsia="uk-UA"/>
        </w:rPr>
        <w:t xml:space="preserve"> або системою цифрового захисту, що дозволяє здійснити ідентифікацію Покупця та провести заправку транспортного засобу нафтопродуктами певного виду палива.</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Учасник повинен надати:</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1. Гарантійний лист щодо надання копій сертифікату (паспорту) якості, копія декларації пр</w:t>
      </w:r>
      <w:r>
        <w:rPr>
          <w:rFonts w:ascii="Times New Roman" w:hAnsi="Times New Roman" w:cs="Times New Roman"/>
          <w:color w:val="auto"/>
          <w:sz w:val="24"/>
          <w:szCs w:val="24"/>
          <w:lang w:val="uk-UA" w:eastAsia="uk-UA"/>
        </w:rPr>
        <w:t xml:space="preserve">о відповідність або інший документ, який підтверджує якість Товару, що буде поставлятись Учасником перед укладанням договору. Надати копії сертифікатів (паспорту) якості, копію декларації про відповідність або інший документ, який підтверджує якість Товару</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2. Довідку (в довільній формі) про дійсність довірчих документів (талонів/паливних карток) на території м. Києва, Київській області та обов’язкова наявність АЗС в кожній області України за виключенням окупованих територій.</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3. У разі наявності партнерських АЗС, Учасник процедури закупівлі повинен надати в складі пропозиції документальне підтвердження права користування автозаправними станціями інших власників:</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 - </w:t>
      </w:r>
      <w:r>
        <w:rPr>
          <w:rFonts w:ascii="Times New Roman" w:hAnsi="Times New Roman" w:cs="Times New Roman"/>
          <w:color w:val="auto"/>
          <w:sz w:val="24"/>
          <w:szCs w:val="24"/>
          <w:lang w:val="uk-UA" w:eastAsia="uk-UA"/>
        </w:rPr>
        <w:t xml:space="preserve">копії Договорів з операторами (ліцензіатами)  партнерських АЗС, орендованих АЗС, які повинні бути чинними впродовж строку поставки предмета закупівлі, та/або копія документу, який підтверджує діяльність операторів АЗС  відповідно до чинного законодавства. </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 - гарантійний лист від власника/орендаря/оператора(ліцензіата) партнерських АЗС, орендованих АЗС, адресований Учаснику, про гарантування заправок автотранспорту за довірчими документами (талонами/паливними картками) встановленого зразка на АЗС.</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4. Лист - підтвердження (в довільній формі) від Учасника щодо знаходження не менше однієї власної або партнерської АЗС від місця розташування Замовника від вул. Володимира </w:t>
      </w:r>
      <w:r>
        <w:rPr>
          <w:rFonts w:ascii="Times New Roman" w:hAnsi="Times New Roman" w:cs="Times New Roman"/>
          <w:color w:val="auto"/>
          <w:sz w:val="24"/>
          <w:szCs w:val="24"/>
          <w:lang w:val="uk-UA" w:eastAsia="uk-UA"/>
        </w:rPr>
        <w:t xml:space="preserve">Сікевича</w:t>
      </w:r>
      <w:r>
        <w:rPr>
          <w:rFonts w:ascii="Times New Roman" w:hAnsi="Times New Roman" w:cs="Times New Roman"/>
          <w:color w:val="auto"/>
          <w:sz w:val="24"/>
          <w:szCs w:val="24"/>
          <w:lang w:val="uk-UA" w:eastAsia="uk-UA"/>
        </w:rPr>
        <w:t xml:space="preserve"> 28  на відстані не більше 3 км з обов’язковим зазначенням адреси розташування перелічених АЗС. </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5.  Довідку (у довільній формі), якою Учасник гарантує, що Това</w:t>
      </w:r>
      <w:r>
        <w:rPr>
          <w:rFonts w:ascii="Times New Roman" w:hAnsi="Times New Roman" w:cs="Times New Roman"/>
          <w:color w:val="auto"/>
          <w:sz w:val="24"/>
          <w:szCs w:val="24"/>
          <w:lang w:val="uk-UA" w:eastAsia="uk-UA"/>
        </w:rPr>
        <w:t xml:space="preserve">р є таким, що не має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w:t>
      </w:r>
      <w:r/>
    </w:p>
    <w:p>
      <w:pPr>
        <w:pStyle w:val="741"/>
        <w:ind w:firstLine="709"/>
        <w:jc w:val="both"/>
        <w:spacing w:line="240" w:lineRule="auto"/>
        <w:rPr>
          <w:rFonts w:ascii="Times New Roman" w:hAnsi="Times New Roman" w:cs="Times New Roman"/>
          <w:color w:val="auto"/>
          <w:sz w:val="24"/>
          <w:szCs w:val="24"/>
          <w:lang w:val="uk-UA" w:eastAsia="uk-UA"/>
        </w:rPr>
      </w:pPr>
      <w:r>
        <w:rPr>
          <w:rFonts w:ascii="Times New Roman" w:hAnsi="Times New Roman" w:cs="Times New Roman"/>
          <w:color w:val="auto"/>
          <w:sz w:val="24"/>
          <w:szCs w:val="24"/>
          <w:lang w:val="uk-UA" w:eastAsia="uk-UA"/>
        </w:rPr>
        <w:t xml:space="preserve">6. Чинний дозвіл або ліцензія на провадження відповідної господарської діяльності, або довідку в довільній формі із підтвердженням наявності в учасник</w:t>
      </w:r>
      <w:r>
        <w:rPr>
          <w:rFonts w:ascii="Times New Roman" w:hAnsi="Times New Roman" w:cs="Times New Roman"/>
          <w:color w:val="auto"/>
          <w:sz w:val="24"/>
          <w:szCs w:val="24"/>
          <w:lang w:val="uk-UA" w:eastAsia="uk-UA"/>
        </w:rPr>
        <w:t xml:space="preserve">а відповідної ліцензії з посиланням на відкритий реєстр який містить таку інформацію, якщо отримання такого дозволу або ліцензії на провадження такого виду діяльності передбачено законодавством. Якщо не передбачено, надати довідку про це в довільній формі.</w:t>
      </w:r>
      <w:r/>
    </w:p>
    <w:p>
      <w:pPr>
        <w:ind w:firstLine="709"/>
        <w:jc w:val="both"/>
        <w:spacing w:after="0" w:line="240" w:lineRule="auto"/>
        <w:rPr>
          <w:rFonts w:ascii="Times New Roman" w:hAnsi="Times New Roman" w:cs="Times New Roman"/>
          <w:b/>
          <w:sz w:val="24"/>
          <w:szCs w:val="24"/>
          <w:lang w:eastAsia="ru-RU"/>
        </w:rPr>
      </w:pPr>
      <w:r>
        <w:rPr>
          <w:rFonts w:ascii="Times New Roman" w:hAnsi="Times New Roman" w:cs="Times New Roman"/>
          <w:sz w:val="24"/>
          <w:szCs w:val="24"/>
          <w:lang w:eastAsia="uk-UA"/>
        </w:rPr>
        <w:t xml:space="preserve">7. У складі пропозиції надає копію оригіналу документу (с</w:t>
      </w:r>
      <w:r>
        <w:rPr>
          <w:rFonts w:ascii="Times New Roman" w:hAnsi="Times New Roman" w:cs="Times New Roman"/>
          <w:sz w:val="24"/>
          <w:szCs w:val="24"/>
          <w:lang w:eastAsia="uk-UA"/>
        </w:rPr>
        <w:t xml:space="preserve">ертифікат тощо), який підтверджує впровадження системи управління якістю в Учасника, як суб’єкта господарювання – юридичної особи стосовно торгівлі (оптової чи роздрібної) пальним (паливом), виданий акредитованим уповноваженим органом у сфері сертифікації.</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345 340</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триста сорок п’ять тисяч триста сорок</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н</w:t>
      </w:r>
      <w:r>
        <w:rPr>
          <w:rFonts w:ascii="Times New Roman" w:hAnsi="Times New Roman" w:eastAsia="Times New Roman" w:cs="Times New Roman"/>
          <w:sz w:val="24"/>
          <w:szCs w:val="24"/>
          <w:lang w:eastAsia="ru-RU"/>
        </w:rPr>
        <w:t xml:space="preserve">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00</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w:t>
      </w:r>
      <w:r>
        <w:rPr>
          <w:rFonts w:ascii="Times New Roman" w:hAnsi="Times New Roman" w:eastAsia="Times New Roman" w:cs="Times New Roman"/>
          <w:sz w:val="24"/>
          <w:szCs w:val="24"/>
          <w:lang w:eastAsia="ru-RU"/>
        </w:rPr>
        <w:t xml:space="preserve">документів наданих Ініціатором закупівлі.</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1">
    <w:panose1 w:val="02020603050405020304"/>
  </w:font>
  <w:font w:name="Segoe UI">
    <w:panose1 w:val="020B050204050402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6"/>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b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927" w:hanging="360"/>
      </w:pPr>
      <w:rPr>
        <w:rFonts w:hint="default"/>
        <w:b/>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6">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218" w:hanging="360"/>
      </w:pPr>
      <w:rPr>
        <w:rFonts w:hint="default"/>
      </w:rPr>
    </w:lvl>
    <w:lvl w:ilvl="1">
      <w:start w:val="1"/>
      <w:numFmt w:val="lowerLetter"/>
      <w:isLgl w:val="false"/>
      <w:suff w:val="tab"/>
      <w:lvlText w:val="%2."/>
      <w:lvlJc w:val="left"/>
      <w:pPr>
        <w:ind w:left="938" w:hanging="360"/>
      </w:pPr>
    </w:lvl>
    <w:lvl w:ilvl="2">
      <w:start w:val="1"/>
      <w:numFmt w:val="lowerRoman"/>
      <w:isLgl w:val="false"/>
      <w:suff w:val="tab"/>
      <w:lvlText w:val="%3."/>
      <w:lvlJc w:val="right"/>
      <w:pPr>
        <w:ind w:left="1658" w:hanging="180"/>
      </w:pPr>
    </w:lvl>
    <w:lvl w:ilvl="3">
      <w:start w:val="1"/>
      <w:numFmt w:val="decimal"/>
      <w:isLgl w:val="false"/>
      <w:suff w:val="tab"/>
      <w:lvlText w:val="%4."/>
      <w:lvlJc w:val="left"/>
      <w:pPr>
        <w:ind w:left="2378" w:hanging="360"/>
      </w:pPr>
    </w:lvl>
    <w:lvl w:ilvl="4">
      <w:start w:val="1"/>
      <w:numFmt w:val="lowerLetter"/>
      <w:isLgl w:val="false"/>
      <w:suff w:val="tab"/>
      <w:lvlText w:val="%5."/>
      <w:lvlJc w:val="left"/>
      <w:pPr>
        <w:ind w:left="3098" w:hanging="360"/>
      </w:pPr>
    </w:lvl>
    <w:lvl w:ilvl="5">
      <w:start w:val="1"/>
      <w:numFmt w:val="lowerRoman"/>
      <w:isLgl w:val="false"/>
      <w:suff w:val="tab"/>
      <w:lvlText w:val="%6."/>
      <w:lvlJc w:val="right"/>
      <w:pPr>
        <w:ind w:left="3818" w:hanging="180"/>
      </w:pPr>
    </w:lvl>
    <w:lvl w:ilvl="6">
      <w:start w:val="1"/>
      <w:numFmt w:val="decimal"/>
      <w:isLgl w:val="false"/>
      <w:suff w:val="tab"/>
      <w:lvlText w:val="%7."/>
      <w:lvlJc w:val="left"/>
      <w:pPr>
        <w:ind w:left="4538" w:hanging="360"/>
      </w:pPr>
    </w:lvl>
    <w:lvl w:ilvl="7">
      <w:start w:val="1"/>
      <w:numFmt w:val="lowerLetter"/>
      <w:isLgl w:val="false"/>
      <w:suff w:val="tab"/>
      <w:lvlText w:val="%8."/>
      <w:lvlJc w:val="left"/>
      <w:pPr>
        <w:ind w:left="5258" w:hanging="360"/>
      </w:pPr>
    </w:lvl>
    <w:lvl w:ilvl="8">
      <w:start w:val="1"/>
      <w:numFmt w:val="lowerRoman"/>
      <w:isLgl w:val="false"/>
      <w:suff w:val="tab"/>
      <w:lvlText w:val="%9."/>
      <w:lvlJc w:val="right"/>
      <w:pPr>
        <w:ind w:left="5978" w:hanging="180"/>
      </w:pPr>
    </w:lvl>
  </w:abstractNum>
  <w:abstractNum w:abstractNumId="8">
    <w:multiLevelType w:val="hybridMultilevel"/>
    <w:lvl w:ilvl="0">
      <w:start w:val="1"/>
      <w:numFmt w:val="decimal"/>
      <w:isLgl w:val="false"/>
      <w:suff w:val="tab"/>
      <w:lvlText w:val="%1."/>
      <w:lvlJc w:val="left"/>
      <w:pPr>
        <w:ind w:left="1085" w:hanging="375"/>
        <w:tabs>
          <w:tab w:val="num" w:pos="0"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9">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1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1">
    <w:multiLevelType w:val="hybridMultilevel"/>
    <w:lvl w:ilvl="0">
      <w:start w:val="900"/>
      <w:numFmt w:val="bullet"/>
      <w:isLgl w:val="false"/>
      <w:suff w:val="tab"/>
      <w:lvlText w:val="-"/>
      <w:lvlJc w:val="left"/>
      <w:pPr>
        <w:ind w:left="644" w:hanging="360"/>
      </w:pPr>
      <w:rPr>
        <w:rFonts w:hint="default" w:ascii="Times New Roman" w:hAnsi="Times New Roman"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tab"/>
      <w:lvlText w:val="%1."/>
      <w:lvlJc w:val="left"/>
      <w:pPr>
        <w:ind w:left="1651" w:hanging="375"/>
        <w:tabs>
          <w:tab w:val="num" w:pos="566" w:leader="none"/>
        </w:tabs>
      </w:pPr>
      <w:rPr>
        <w:rFonts w:cs="Times New Roman"/>
      </w:rPr>
    </w:lvl>
    <w:lvl w:ilvl="1">
      <w:start w:val="1"/>
      <w:numFmt w:val="lowerLetter"/>
      <w:isLgl w:val="false"/>
      <w:suff w:val="tab"/>
      <w:lvlText w:val="%2."/>
      <w:lvlJc w:val="left"/>
      <w:pPr>
        <w:ind w:left="1789" w:hanging="360"/>
        <w:tabs>
          <w:tab w:val="num" w:pos="0" w:leader="none"/>
        </w:tabs>
      </w:pPr>
      <w:rPr>
        <w:rFonts w:cs="Times New Roman"/>
      </w:rPr>
    </w:lvl>
    <w:lvl w:ilvl="2">
      <w:start w:val="1"/>
      <w:numFmt w:val="lowerRoman"/>
      <w:isLgl w:val="false"/>
      <w:suff w:val="tab"/>
      <w:lvlText w:val="%3."/>
      <w:lvlJc w:val="right"/>
      <w:pPr>
        <w:ind w:left="2509" w:hanging="180"/>
        <w:tabs>
          <w:tab w:val="num" w:pos="0" w:leader="none"/>
        </w:tabs>
      </w:pPr>
      <w:rPr>
        <w:rFonts w:cs="Times New Roman"/>
      </w:rPr>
    </w:lvl>
    <w:lvl w:ilvl="3">
      <w:start w:val="1"/>
      <w:numFmt w:val="decimal"/>
      <w:isLgl w:val="false"/>
      <w:suff w:val="tab"/>
      <w:lvlText w:val="%4."/>
      <w:lvlJc w:val="left"/>
      <w:pPr>
        <w:ind w:left="3229" w:hanging="360"/>
        <w:tabs>
          <w:tab w:val="num" w:pos="0" w:leader="none"/>
        </w:tabs>
      </w:pPr>
      <w:rPr>
        <w:rFonts w:cs="Times New Roman"/>
      </w:rPr>
    </w:lvl>
    <w:lvl w:ilvl="4">
      <w:start w:val="1"/>
      <w:numFmt w:val="lowerLetter"/>
      <w:isLgl w:val="false"/>
      <w:suff w:val="tab"/>
      <w:lvlText w:val="%5."/>
      <w:lvlJc w:val="left"/>
      <w:pPr>
        <w:ind w:left="3949" w:hanging="360"/>
        <w:tabs>
          <w:tab w:val="num" w:pos="0" w:leader="none"/>
        </w:tabs>
      </w:pPr>
      <w:rPr>
        <w:rFonts w:cs="Times New Roman"/>
      </w:rPr>
    </w:lvl>
    <w:lvl w:ilvl="5">
      <w:start w:val="1"/>
      <w:numFmt w:val="lowerRoman"/>
      <w:isLgl w:val="false"/>
      <w:suff w:val="tab"/>
      <w:lvlText w:val="%6."/>
      <w:lvlJc w:val="right"/>
      <w:pPr>
        <w:ind w:left="4669" w:hanging="180"/>
        <w:tabs>
          <w:tab w:val="num" w:pos="0" w:leader="none"/>
        </w:tabs>
      </w:pPr>
      <w:rPr>
        <w:rFonts w:cs="Times New Roman"/>
      </w:rPr>
    </w:lvl>
    <w:lvl w:ilvl="6">
      <w:start w:val="1"/>
      <w:numFmt w:val="decimal"/>
      <w:isLgl w:val="false"/>
      <w:suff w:val="tab"/>
      <w:lvlText w:val="%7."/>
      <w:lvlJc w:val="left"/>
      <w:pPr>
        <w:ind w:left="5389" w:hanging="360"/>
        <w:tabs>
          <w:tab w:val="num" w:pos="0" w:leader="none"/>
        </w:tabs>
      </w:pPr>
      <w:rPr>
        <w:rFonts w:cs="Times New Roman"/>
      </w:rPr>
    </w:lvl>
    <w:lvl w:ilvl="7">
      <w:start w:val="1"/>
      <w:numFmt w:val="lowerLetter"/>
      <w:isLgl w:val="false"/>
      <w:suff w:val="tab"/>
      <w:lvlText w:val="%8."/>
      <w:lvlJc w:val="left"/>
      <w:pPr>
        <w:ind w:left="6109" w:hanging="360"/>
        <w:tabs>
          <w:tab w:val="num" w:pos="0" w:leader="none"/>
        </w:tabs>
      </w:pPr>
      <w:rPr>
        <w:rFonts w:cs="Times New Roman"/>
      </w:rPr>
    </w:lvl>
    <w:lvl w:ilvl="8">
      <w:start w:val="1"/>
      <w:numFmt w:val="lowerRoman"/>
      <w:isLgl w:val="false"/>
      <w:suff w:val="tab"/>
      <w:lvlText w:val="%9."/>
      <w:lvlJc w:val="right"/>
      <w:pPr>
        <w:ind w:left="6829" w:hanging="180"/>
        <w:tabs>
          <w:tab w:val="num" w:pos="0" w:leader="none"/>
        </w:tabs>
      </w:pPr>
      <w:rPr>
        <w:rFonts w:cs="Times New Roman"/>
      </w:r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b/>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927" w:hanging="360"/>
      </w:pPr>
      <w:rPr>
        <w:rFonts w:hint="default" w:ascii="Calibri" w:hAnsi="Calibri" w:cs="Times New Roman" w:eastAsiaTheme="minorHAnsi"/>
      </w:rPr>
    </w:lvl>
    <w:lvl w:ilvl="1">
      <w:start w:val="1"/>
      <w:numFmt w:val="bullet"/>
      <w:isLgl w:val="false"/>
      <w:suff w:val="tab"/>
      <w:lvlText w:val="o"/>
      <w:lvlJc w:val="left"/>
      <w:pPr>
        <w:ind w:left="1647" w:hanging="360"/>
      </w:pPr>
      <w:rPr>
        <w:rFonts w:hint="default" w:ascii="Courier New" w:hAnsi="Courier New" w:cs="Courier New"/>
      </w:rPr>
    </w:lvl>
    <w:lvl w:ilvl="2">
      <w:start w:val="1"/>
      <w:numFmt w:val="bullet"/>
      <w:isLgl w:val="false"/>
      <w:suff w:val="tab"/>
      <w:lvlText w:val=""/>
      <w:lvlJc w:val="left"/>
      <w:pPr>
        <w:ind w:left="2367" w:hanging="360"/>
      </w:pPr>
      <w:rPr>
        <w:rFonts w:hint="default" w:ascii="Wingdings" w:hAnsi="Wingdings"/>
      </w:rPr>
    </w:lvl>
    <w:lvl w:ilvl="3">
      <w:start w:val="1"/>
      <w:numFmt w:val="bullet"/>
      <w:isLgl w:val="false"/>
      <w:suff w:val="tab"/>
      <w:lvlText w:val=""/>
      <w:lvlJc w:val="left"/>
      <w:pPr>
        <w:ind w:left="3087" w:hanging="360"/>
      </w:pPr>
      <w:rPr>
        <w:rFonts w:hint="default" w:ascii="Symbol" w:hAnsi="Symbol"/>
      </w:rPr>
    </w:lvl>
    <w:lvl w:ilvl="4">
      <w:start w:val="1"/>
      <w:numFmt w:val="bullet"/>
      <w:isLgl w:val="false"/>
      <w:suff w:val="tab"/>
      <w:lvlText w:val="o"/>
      <w:lvlJc w:val="left"/>
      <w:pPr>
        <w:ind w:left="3807" w:hanging="360"/>
      </w:pPr>
      <w:rPr>
        <w:rFonts w:hint="default" w:ascii="Courier New" w:hAnsi="Courier New" w:cs="Courier New"/>
      </w:rPr>
    </w:lvl>
    <w:lvl w:ilvl="5">
      <w:start w:val="1"/>
      <w:numFmt w:val="bullet"/>
      <w:isLgl w:val="false"/>
      <w:suff w:val="tab"/>
      <w:lvlText w:val=""/>
      <w:lvlJc w:val="left"/>
      <w:pPr>
        <w:ind w:left="4527" w:hanging="360"/>
      </w:pPr>
      <w:rPr>
        <w:rFonts w:hint="default" w:ascii="Wingdings" w:hAnsi="Wingdings"/>
      </w:rPr>
    </w:lvl>
    <w:lvl w:ilvl="6">
      <w:start w:val="1"/>
      <w:numFmt w:val="bullet"/>
      <w:isLgl w:val="false"/>
      <w:suff w:val="tab"/>
      <w:lvlText w:val=""/>
      <w:lvlJc w:val="left"/>
      <w:pPr>
        <w:ind w:left="5247" w:hanging="360"/>
      </w:pPr>
      <w:rPr>
        <w:rFonts w:hint="default" w:ascii="Symbol" w:hAnsi="Symbol"/>
      </w:rPr>
    </w:lvl>
    <w:lvl w:ilvl="7">
      <w:start w:val="1"/>
      <w:numFmt w:val="bullet"/>
      <w:isLgl w:val="false"/>
      <w:suff w:val="tab"/>
      <w:lvlText w:val="o"/>
      <w:lvlJc w:val="left"/>
      <w:pPr>
        <w:ind w:left="5967" w:hanging="360"/>
      </w:pPr>
      <w:rPr>
        <w:rFonts w:hint="default" w:ascii="Courier New" w:hAnsi="Courier New" w:cs="Courier New"/>
      </w:rPr>
    </w:lvl>
    <w:lvl w:ilvl="8">
      <w:start w:val="1"/>
      <w:numFmt w:val="bullet"/>
      <w:isLgl w:val="false"/>
      <w:suff w:val="tab"/>
      <w:lvlText w:val=""/>
      <w:lvlJc w:val="left"/>
      <w:pPr>
        <w:ind w:left="6687"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5">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2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abstractNum w:abstractNumId="2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num w:numId="1">
    <w:abstractNumId w:val="25"/>
  </w:num>
  <w:num w:numId="2">
    <w:abstractNumId w:val="14"/>
  </w:num>
  <w:num w:numId="3">
    <w:abstractNumId w:val="6"/>
  </w:num>
  <w:num w:numId="4">
    <w:abstractNumId w:val="20"/>
  </w:num>
  <w:num w:numId="5">
    <w:abstractNumId w:val="5"/>
  </w:num>
  <w:num w:numId="6">
    <w:abstractNumId w:val="26"/>
  </w:num>
  <w:num w:numId="7">
    <w:abstractNumId w:val="9"/>
  </w:num>
  <w:num w:numId="8">
    <w:abstractNumId w:val="28"/>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3"/>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7"/>
  </w:num>
  <w:num w:numId="17">
    <w:abstractNumId w:val="0"/>
  </w:num>
  <w:num w:numId="18">
    <w:abstractNumId w:val="29"/>
  </w:num>
  <w:num w:numId="19">
    <w:abstractNumId w:val="2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2"/>
  </w:num>
  <w:num w:numId="25">
    <w:abstractNumId w:val="15"/>
  </w:num>
  <w:num w:numId="26">
    <w:abstractNumId w:val="18"/>
  </w:num>
  <w:num w:numId="27">
    <w:abstractNumId w:val="23"/>
  </w:num>
  <w:num w:numId="28">
    <w:abstractNumId w:val="16"/>
  </w:num>
  <w:num w:numId="29">
    <w:abstractNumId w:val="24"/>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705"/>
    <w:next w:val="705"/>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707"/>
    <w:link w:val="12"/>
    <w:uiPriority w:val="9"/>
    <w:rPr>
      <w:rFonts w:ascii="Arial" w:hAnsi="Arial" w:eastAsia="Arial" w:cs="Arial"/>
      <w:sz w:val="40"/>
      <w:szCs w:val="40"/>
    </w:rPr>
  </w:style>
  <w:style w:type="character" w:styleId="15">
    <w:name w:val="Heading 2 Char"/>
    <w:basedOn w:val="707"/>
    <w:link w:val="706"/>
    <w:uiPriority w:val="9"/>
    <w:rPr>
      <w:rFonts w:ascii="Arial" w:hAnsi="Arial" w:eastAsia="Arial" w:cs="Arial"/>
      <w:sz w:val="34"/>
    </w:rPr>
  </w:style>
  <w:style w:type="paragraph" w:styleId="16">
    <w:name w:val="Heading 3"/>
    <w:basedOn w:val="705"/>
    <w:next w:val="705"/>
    <w:link w:val="17"/>
    <w:uiPriority w:val="9"/>
    <w:unhideWhenUsed/>
    <w:qFormat/>
    <w:pPr>
      <w:keepLines/>
      <w:keepNext/>
      <w:spacing w:before="320" w:after="200"/>
      <w:outlineLvl w:val="2"/>
    </w:pPr>
    <w:rPr>
      <w:rFonts w:ascii="Arial" w:hAnsi="Arial" w:eastAsia="Arial" w:cs="Arial"/>
      <w:sz w:val="30"/>
      <w:szCs w:val="30"/>
    </w:rPr>
  </w:style>
  <w:style w:type="character" w:styleId="17">
    <w:name w:val="Heading 3 Char"/>
    <w:basedOn w:val="707"/>
    <w:link w:val="16"/>
    <w:uiPriority w:val="9"/>
    <w:rPr>
      <w:rFonts w:ascii="Arial" w:hAnsi="Arial" w:eastAsia="Arial" w:cs="Arial"/>
      <w:sz w:val="30"/>
      <w:szCs w:val="30"/>
    </w:rPr>
  </w:style>
  <w:style w:type="paragraph" w:styleId="18">
    <w:name w:val="Heading 4"/>
    <w:basedOn w:val="705"/>
    <w:next w:val="705"/>
    <w:link w:val="19"/>
    <w:uiPriority w:val="9"/>
    <w:unhideWhenUsed/>
    <w:qFormat/>
    <w:pPr>
      <w:keepLines/>
      <w:keepNext/>
      <w:spacing w:before="320" w:after="200"/>
      <w:outlineLvl w:val="3"/>
    </w:pPr>
    <w:rPr>
      <w:rFonts w:ascii="Arial" w:hAnsi="Arial" w:eastAsia="Arial" w:cs="Arial"/>
      <w:b/>
      <w:bCs/>
      <w:sz w:val="26"/>
      <w:szCs w:val="26"/>
    </w:rPr>
  </w:style>
  <w:style w:type="character" w:styleId="19">
    <w:name w:val="Heading 4 Char"/>
    <w:basedOn w:val="707"/>
    <w:link w:val="18"/>
    <w:uiPriority w:val="9"/>
    <w:rPr>
      <w:rFonts w:ascii="Arial" w:hAnsi="Arial" w:eastAsia="Arial" w:cs="Arial"/>
      <w:b/>
      <w:bCs/>
      <w:sz w:val="26"/>
      <w:szCs w:val="26"/>
    </w:rPr>
  </w:style>
  <w:style w:type="paragraph" w:styleId="20">
    <w:name w:val="Heading 5"/>
    <w:basedOn w:val="705"/>
    <w:next w:val="705"/>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707"/>
    <w:link w:val="20"/>
    <w:uiPriority w:val="9"/>
    <w:rPr>
      <w:rFonts w:ascii="Arial" w:hAnsi="Arial" w:eastAsia="Arial" w:cs="Arial"/>
      <w:b/>
      <w:bCs/>
      <w:sz w:val="24"/>
      <w:szCs w:val="24"/>
    </w:rPr>
  </w:style>
  <w:style w:type="paragraph" w:styleId="22">
    <w:name w:val="Heading 6"/>
    <w:basedOn w:val="705"/>
    <w:next w:val="705"/>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707"/>
    <w:link w:val="22"/>
    <w:uiPriority w:val="9"/>
    <w:rPr>
      <w:rFonts w:ascii="Arial" w:hAnsi="Arial" w:eastAsia="Arial" w:cs="Arial"/>
      <w:b/>
      <w:bCs/>
      <w:sz w:val="22"/>
      <w:szCs w:val="22"/>
    </w:rPr>
  </w:style>
  <w:style w:type="paragraph" w:styleId="24">
    <w:name w:val="Heading 7"/>
    <w:basedOn w:val="705"/>
    <w:next w:val="705"/>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707"/>
    <w:link w:val="24"/>
    <w:uiPriority w:val="9"/>
    <w:rPr>
      <w:rFonts w:ascii="Arial" w:hAnsi="Arial" w:eastAsia="Arial" w:cs="Arial"/>
      <w:b/>
      <w:bCs/>
      <w:i/>
      <w:iCs/>
      <w:sz w:val="22"/>
      <w:szCs w:val="22"/>
    </w:rPr>
  </w:style>
  <w:style w:type="paragraph" w:styleId="26">
    <w:name w:val="Heading 8"/>
    <w:basedOn w:val="705"/>
    <w:next w:val="705"/>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707"/>
    <w:link w:val="26"/>
    <w:uiPriority w:val="9"/>
    <w:rPr>
      <w:rFonts w:ascii="Arial" w:hAnsi="Arial" w:eastAsia="Arial" w:cs="Arial"/>
      <w:i/>
      <w:iCs/>
      <w:sz w:val="22"/>
      <w:szCs w:val="22"/>
    </w:rPr>
  </w:style>
  <w:style w:type="paragraph" w:styleId="28">
    <w:name w:val="Heading 9"/>
    <w:basedOn w:val="705"/>
    <w:next w:val="705"/>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707"/>
    <w:link w:val="28"/>
    <w:uiPriority w:val="9"/>
    <w:rPr>
      <w:rFonts w:ascii="Arial" w:hAnsi="Arial" w:eastAsia="Arial" w:cs="Arial"/>
      <w:i/>
      <w:iCs/>
      <w:sz w:val="21"/>
      <w:szCs w:val="21"/>
    </w:rPr>
  </w:style>
  <w:style w:type="paragraph" w:styleId="33">
    <w:name w:val="Title"/>
    <w:basedOn w:val="705"/>
    <w:next w:val="705"/>
    <w:link w:val="34"/>
    <w:uiPriority w:val="10"/>
    <w:qFormat/>
    <w:pPr>
      <w:contextualSpacing/>
      <w:spacing w:before="300" w:after="200"/>
    </w:pPr>
    <w:rPr>
      <w:sz w:val="48"/>
      <w:szCs w:val="48"/>
    </w:rPr>
  </w:style>
  <w:style w:type="character" w:styleId="34">
    <w:name w:val="Title Char"/>
    <w:basedOn w:val="707"/>
    <w:link w:val="33"/>
    <w:uiPriority w:val="10"/>
    <w:rPr>
      <w:sz w:val="48"/>
      <w:szCs w:val="48"/>
    </w:rPr>
  </w:style>
  <w:style w:type="paragraph" w:styleId="35">
    <w:name w:val="Subtitle"/>
    <w:basedOn w:val="705"/>
    <w:next w:val="705"/>
    <w:link w:val="36"/>
    <w:uiPriority w:val="11"/>
    <w:qFormat/>
    <w:pPr>
      <w:spacing w:before="200" w:after="200"/>
    </w:pPr>
    <w:rPr>
      <w:sz w:val="24"/>
      <w:szCs w:val="24"/>
    </w:rPr>
  </w:style>
  <w:style w:type="character" w:styleId="36">
    <w:name w:val="Subtitle Char"/>
    <w:basedOn w:val="707"/>
    <w:link w:val="35"/>
    <w:uiPriority w:val="11"/>
    <w:rPr>
      <w:sz w:val="24"/>
      <w:szCs w:val="24"/>
    </w:rPr>
  </w:style>
  <w:style w:type="paragraph" w:styleId="37">
    <w:name w:val="Quote"/>
    <w:basedOn w:val="705"/>
    <w:next w:val="705"/>
    <w:link w:val="38"/>
    <w:uiPriority w:val="29"/>
    <w:qFormat/>
    <w:pPr>
      <w:ind w:left="720" w:right="720"/>
    </w:pPr>
    <w:rPr>
      <w:i/>
    </w:rPr>
  </w:style>
  <w:style w:type="character" w:styleId="38">
    <w:name w:val="Quote Char"/>
    <w:link w:val="37"/>
    <w:uiPriority w:val="29"/>
    <w:rPr>
      <w:i/>
    </w:rPr>
  </w:style>
  <w:style w:type="paragraph" w:styleId="39">
    <w:name w:val="Intense Quote"/>
    <w:basedOn w:val="705"/>
    <w:next w:val="705"/>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705"/>
    <w:link w:val="42"/>
    <w:uiPriority w:val="99"/>
    <w:unhideWhenUsed/>
    <w:pPr>
      <w:spacing w:after="0" w:line="240" w:lineRule="auto"/>
      <w:tabs>
        <w:tab w:val="center" w:pos="7143" w:leader="none"/>
        <w:tab w:val="right" w:pos="14287" w:leader="none"/>
      </w:tabs>
    </w:pPr>
  </w:style>
  <w:style w:type="character" w:styleId="42">
    <w:name w:val="Header Char"/>
    <w:basedOn w:val="707"/>
    <w:link w:val="41"/>
    <w:uiPriority w:val="99"/>
  </w:style>
  <w:style w:type="character" w:styleId="44">
    <w:name w:val="Footer Char"/>
    <w:basedOn w:val="707"/>
    <w:link w:val="716"/>
    <w:uiPriority w:val="99"/>
  </w:style>
  <w:style w:type="paragraph" w:styleId="45">
    <w:name w:val="Caption"/>
    <w:basedOn w:val="705"/>
    <w:next w:val="705"/>
    <w:uiPriority w:val="35"/>
    <w:semiHidden/>
    <w:unhideWhenUsed/>
    <w:qFormat/>
    <w:pPr>
      <w:spacing w:line="276" w:lineRule="auto"/>
    </w:pPr>
    <w:rPr>
      <w:b/>
      <w:bCs/>
      <w:color w:val="4f81bd" w:themeColor="accent1"/>
      <w:sz w:val="18"/>
      <w:szCs w:val="18"/>
    </w:rPr>
  </w:style>
  <w:style w:type="character" w:styleId="46">
    <w:name w:val="Caption Char"/>
    <w:basedOn w:val="45"/>
    <w:link w:val="716"/>
    <w:uiPriority w:val="99"/>
  </w:style>
  <w:style w:type="table" w:styleId="48">
    <w:name w:val="Table Grid Light"/>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70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70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70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70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70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70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70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70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70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70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70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70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70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70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70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70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70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70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70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70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70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70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70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70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70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70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70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70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70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70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70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70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708"/>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70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70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70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708"/>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70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70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70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70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70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70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70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70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70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70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70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70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70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70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70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70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70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70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70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70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70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70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70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70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70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70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70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70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70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70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70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70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70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70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70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70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70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70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70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70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70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70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70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70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70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70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70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70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70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70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70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70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70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70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70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70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70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705"/>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707"/>
    <w:uiPriority w:val="99"/>
    <w:unhideWhenUsed/>
    <w:rPr>
      <w:vertAlign w:val="superscript"/>
    </w:rPr>
  </w:style>
  <w:style w:type="paragraph" w:styleId="177">
    <w:name w:val="endnote text"/>
    <w:basedOn w:val="705"/>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707"/>
    <w:uiPriority w:val="99"/>
    <w:semiHidden/>
    <w:unhideWhenUsed/>
    <w:rPr>
      <w:vertAlign w:val="superscript"/>
    </w:rPr>
  </w:style>
  <w:style w:type="paragraph" w:styleId="180">
    <w:name w:val="toc 1"/>
    <w:basedOn w:val="705"/>
    <w:next w:val="705"/>
    <w:uiPriority w:val="39"/>
    <w:unhideWhenUsed/>
    <w:pPr>
      <w:ind w:left="0" w:right="0" w:firstLine="0"/>
      <w:spacing w:after="57"/>
    </w:pPr>
  </w:style>
  <w:style w:type="paragraph" w:styleId="181">
    <w:name w:val="toc 2"/>
    <w:basedOn w:val="705"/>
    <w:next w:val="705"/>
    <w:uiPriority w:val="39"/>
    <w:unhideWhenUsed/>
    <w:pPr>
      <w:ind w:left="283" w:right="0" w:firstLine="0"/>
      <w:spacing w:after="57"/>
    </w:pPr>
  </w:style>
  <w:style w:type="paragraph" w:styleId="182">
    <w:name w:val="toc 3"/>
    <w:basedOn w:val="705"/>
    <w:next w:val="705"/>
    <w:uiPriority w:val="39"/>
    <w:unhideWhenUsed/>
    <w:pPr>
      <w:ind w:left="567" w:right="0" w:firstLine="0"/>
      <w:spacing w:after="57"/>
    </w:pPr>
  </w:style>
  <w:style w:type="paragraph" w:styleId="183">
    <w:name w:val="toc 4"/>
    <w:basedOn w:val="705"/>
    <w:next w:val="705"/>
    <w:uiPriority w:val="39"/>
    <w:unhideWhenUsed/>
    <w:pPr>
      <w:ind w:left="850" w:right="0" w:firstLine="0"/>
      <w:spacing w:after="57"/>
    </w:pPr>
  </w:style>
  <w:style w:type="paragraph" w:styleId="184">
    <w:name w:val="toc 5"/>
    <w:basedOn w:val="705"/>
    <w:next w:val="705"/>
    <w:uiPriority w:val="39"/>
    <w:unhideWhenUsed/>
    <w:pPr>
      <w:ind w:left="1134" w:right="0" w:firstLine="0"/>
      <w:spacing w:after="57"/>
    </w:pPr>
  </w:style>
  <w:style w:type="paragraph" w:styleId="185">
    <w:name w:val="toc 6"/>
    <w:basedOn w:val="705"/>
    <w:next w:val="705"/>
    <w:uiPriority w:val="39"/>
    <w:unhideWhenUsed/>
    <w:pPr>
      <w:ind w:left="1417" w:right="0" w:firstLine="0"/>
      <w:spacing w:after="57"/>
    </w:pPr>
  </w:style>
  <w:style w:type="paragraph" w:styleId="186">
    <w:name w:val="toc 7"/>
    <w:basedOn w:val="705"/>
    <w:next w:val="705"/>
    <w:uiPriority w:val="39"/>
    <w:unhideWhenUsed/>
    <w:pPr>
      <w:ind w:left="1701" w:right="0" w:firstLine="0"/>
      <w:spacing w:after="57"/>
    </w:pPr>
  </w:style>
  <w:style w:type="paragraph" w:styleId="187">
    <w:name w:val="toc 8"/>
    <w:basedOn w:val="705"/>
    <w:next w:val="705"/>
    <w:uiPriority w:val="39"/>
    <w:unhideWhenUsed/>
    <w:pPr>
      <w:ind w:left="1984" w:right="0" w:firstLine="0"/>
      <w:spacing w:after="57"/>
    </w:pPr>
  </w:style>
  <w:style w:type="paragraph" w:styleId="188">
    <w:name w:val="toc 9"/>
    <w:basedOn w:val="705"/>
    <w:next w:val="705"/>
    <w:uiPriority w:val="39"/>
    <w:unhideWhenUsed/>
    <w:pPr>
      <w:ind w:left="2268" w:right="0" w:firstLine="0"/>
      <w:spacing w:after="57"/>
    </w:pPr>
  </w:style>
  <w:style w:type="paragraph" w:styleId="189">
    <w:name w:val="TOC Heading"/>
    <w:uiPriority w:val="39"/>
    <w:unhideWhenUsed/>
  </w:style>
  <w:style w:type="paragraph" w:styleId="190">
    <w:name w:val="table of figures"/>
    <w:basedOn w:val="705"/>
    <w:next w:val="705"/>
    <w:uiPriority w:val="99"/>
    <w:unhideWhenUsed/>
    <w:pPr>
      <w:spacing w:after="0" w:afterAutospacing="0"/>
    </w:pPr>
  </w:style>
  <w:style w:type="paragraph" w:styleId="705" w:default="1">
    <w:name w:val="Normal"/>
    <w:qFormat/>
    <w:rPr>
      <w:lang w:val="uk-UA"/>
    </w:rPr>
  </w:style>
  <w:style w:type="paragraph" w:styleId="706">
    <w:name w:val="Heading 2"/>
    <w:basedOn w:val="705"/>
    <w:link w:val="725"/>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character" w:styleId="707" w:default="1">
    <w:name w:val="Default Paragraph Font"/>
    <w:uiPriority w:val="1"/>
    <w:semiHidden/>
    <w:unhideWhenUsed/>
  </w:style>
  <w:style w:type="table" w:styleId="708" w:default="1">
    <w:name w:val="Normal Table"/>
    <w:uiPriority w:val="99"/>
    <w:semiHidden/>
    <w:unhideWhenUsed/>
    <w:tblPr>
      <w:tblInd w:w="0" w:type="dxa"/>
      <w:tblCellMar>
        <w:left w:w="108" w:type="dxa"/>
        <w:top w:w="0" w:type="dxa"/>
        <w:right w:w="108" w:type="dxa"/>
        <w:bottom w:w="0" w:type="dxa"/>
      </w:tblCellMar>
    </w:tblPr>
  </w:style>
  <w:style w:type="numbering" w:styleId="709" w:default="1">
    <w:name w:val="No List"/>
    <w:uiPriority w:val="99"/>
    <w:semiHidden/>
    <w:unhideWhenUsed/>
  </w:style>
  <w:style w:type="paragraph" w:styleId="710">
    <w:name w:val="List Paragraph"/>
    <w:basedOn w:val="705"/>
    <w:link w:val="711"/>
    <w:uiPriority w:val="34"/>
    <w:qFormat/>
    <w:pPr>
      <w:contextualSpacing/>
      <w:ind w:left="720"/>
      <w:spacing w:after="200" w:line="276" w:lineRule="auto"/>
    </w:pPr>
    <w:rPr>
      <w:rFonts w:ascii="Calibri" w:hAnsi="Calibri" w:eastAsia="Calibri" w:cs="Calibri"/>
      <w:lang w:val="ru-RU" w:eastAsia="zh-CN"/>
    </w:rPr>
  </w:style>
  <w:style w:type="character" w:styleId="711" w:customStyle="1">
    <w:name w:val="Абзац списку Знак"/>
    <w:link w:val="710"/>
    <w:uiPriority w:val="34"/>
    <w:qFormat/>
    <w:rPr>
      <w:rFonts w:ascii="Calibri" w:hAnsi="Calibri" w:eastAsia="Calibri" w:cs="Calibri"/>
      <w:lang w:eastAsia="zh-CN"/>
    </w:rPr>
  </w:style>
  <w:style w:type="table" w:styleId="712">
    <w:name w:val="Table Grid"/>
    <w:basedOn w:val="70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13" w:customStyle="1">
    <w:name w:val="Сетка таблицы2"/>
    <w:basedOn w:val="708"/>
    <w:next w:val="712"/>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4">
    <w:name w:val="Normal (Web)"/>
    <w:basedOn w:val="705"/>
    <w:link w:val="721"/>
    <w:uiPriority w:val="99"/>
    <w:unhideWhenUsed/>
    <w:qFormat/>
    <w:rPr>
      <w:rFonts w:ascii="Times New Roman" w:hAnsi="Times New Roman" w:cs="Times New Roman"/>
      <w:sz w:val="24"/>
      <w:szCs w:val="24"/>
    </w:rPr>
  </w:style>
  <w:style w:type="table" w:styleId="715" w:customStyle="1">
    <w:name w:val="Сетка таблицы1"/>
    <w:basedOn w:val="708"/>
    <w:next w:val="712"/>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16">
    <w:name w:val="Footer"/>
    <w:basedOn w:val="705"/>
    <w:link w:val="717"/>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717" w:customStyle="1">
    <w:name w:val="Нижній колонтитул Знак"/>
    <w:basedOn w:val="707"/>
    <w:link w:val="716"/>
    <w:uiPriority w:val="99"/>
    <w:rPr>
      <w:rFonts w:ascii="Calibri" w:hAnsi="Calibri" w:eastAsia="Calibri" w:cs="Calibri"/>
      <w:lang w:eastAsia="zh-CN"/>
    </w:rPr>
  </w:style>
  <w:style w:type="paragraph" w:styleId="718"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719">
    <w:name w:val="Hyperlink"/>
    <w:basedOn w:val="707"/>
    <w:uiPriority w:val="99"/>
    <w:unhideWhenUsed/>
    <w:rPr>
      <w:color w:val="0563c1" w:themeColor="hyperlink"/>
      <w:u w:val="single"/>
    </w:rPr>
  </w:style>
  <w:style w:type="character" w:styleId="720" w:customStyle="1">
    <w:name w:val="xfm_93972720"/>
    <w:basedOn w:val="707"/>
  </w:style>
  <w:style w:type="character" w:styleId="721" w:customStyle="1">
    <w:name w:val="Звичайний (веб) Знак"/>
    <w:link w:val="714"/>
    <w:uiPriority w:val="99"/>
    <w:qFormat/>
    <w:rPr>
      <w:rFonts w:ascii="Times New Roman" w:hAnsi="Times New Roman" w:cs="Times New Roman"/>
      <w:sz w:val="24"/>
      <w:szCs w:val="24"/>
      <w:lang w:val="uk-UA"/>
    </w:rPr>
  </w:style>
  <w:style w:type="paragraph" w:styleId="722">
    <w:name w:val="Body Text 2"/>
    <w:basedOn w:val="705"/>
    <w:link w:val="723"/>
    <w:pPr>
      <w:spacing w:after="0" w:line="240" w:lineRule="auto"/>
    </w:pPr>
    <w:rPr>
      <w:rFonts w:ascii="Times New Roman" w:hAnsi="Times New Roman" w:eastAsia="Times New Roman" w:cs="Times New Roman"/>
      <w:sz w:val="28"/>
      <w:szCs w:val="20"/>
      <w:lang w:val="ru-RU" w:eastAsia="ru-RU"/>
    </w:rPr>
  </w:style>
  <w:style w:type="character" w:styleId="723" w:customStyle="1">
    <w:name w:val="Основний текст 2 Знак"/>
    <w:basedOn w:val="707"/>
    <w:link w:val="722"/>
    <w:rPr>
      <w:rFonts w:ascii="Times New Roman" w:hAnsi="Times New Roman" w:eastAsia="Times New Roman" w:cs="Times New Roman"/>
      <w:sz w:val="28"/>
      <w:szCs w:val="20"/>
      <w:lang w:eastAsia="ru-RU"/>
    </w:rPr>
  </w:style>
  <w:style w:type="paragraph" w:styleId="724"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725" w:customStyle="1">
    <w:name w:val="Заголовок 2 Знак"/>
    <w:basedOn w:val="707"/>
    <w:link w:val="706"/>
    <w:uiPriority w:val="9"/>
    <w:rPr>
      <w:rFonts w:ascii="Times New Roman" w:hAnsi="Times New Roman" w:eastAsia="Times New Roman" w:cs="Times New Roman"/>
      <w:b/>
      <w:bCs/>
      <w:sz w:val="36"/>
      <w:szCs w:val="36"/>
      <w:lang w:val="uk-UA" w:eastAsia="uk-UA"/>
    </w:rPr>
  </w:style>
  <w:style w:type="paragraph" w:styleId="726">
    <w:name w:val="No Spacing"/>
    <w:link w:val="727"/>
    <w:uiPriority w:val="1"/>
    <w:qFormat/>
    <w:pPr>
      <w:spacing w:after="0" w:line="240" w:lineRule="auto"/>
    </w:pPr>
    <w:rPr>
      <w:rFonts w:ascii="Calibri" w:hAnsi="Calibri" w:eastAsia="Calibri" w:cs="Times New Roman"/>
      <w:lang w:val="uk-UA"/>
    </w:rPr>
  </w:style>
  <w:style w:type="character" w:styleId="727" w:customStyle="1">
    <w:name w:val="Без інтервалів Знак"/>
    <w:basedOn w:val="707"/>
    <w:link w:val="726"/>
    <w:uiPriority w:val="1"/>
    <w:rPr>
      <w:rFonts w:ascii="Calibri" w:hAnsi="Calibri" w:eastAsia="Calibri" w:cs="Times New Roman"/>
      <w:lang w:val="uk-UA"/>
    </w:rPr>
  </w:style>
  <w:style w:type="character" w:styleId="728" w:customStyle="1">
    <w:name w:val="Другое_"/>
    <w:basedOn w:val="707"/>
    <w:link w:val="729"/>
    <w:rPr>
      <w:rFonts w:ascii="Calibri" w:hAnsi="Calibri" w:eastAsia="Calibri" w:cs="Calibri"/>
      <w:sz w:val="20"/>
      <w:szCs w:val="20"/>
    </w:rPr>
  </w:style>
  <w:style w:type="paragraph" w:styleId="729" w:customStyle="1">
    <w:name w:val="Другое"/>
    <w:basedOn w:val="705"/>
    <w:link w:val="728"/>
    <w:qFormat/>
    <w:pPr>
      <w:spacing w:after="0" w:line="240" w:lineRule="auto"/>
      <w:widowControl w:val="off"/>
    </w:pPr>
    <w:rPr>
      <w:rFonts w:ascii="Calibri" w:hAnsi="Calibri" w:eastAsia="Calibri" w:cs="Calibri"/>
      <w:sz w:val="20"/>
      <w:szCs w:val="20"/>
      <w:lang w:val="ru-RU"/>
    </w:rPr>
  </w:style>
  <w:style w:type="paragraph" w:styleId="730"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731" w:customStyle="1">
    <w:name w:val="Основной текст (2)_"/>
    <w:basedOn w:val="707"/>
    <w:link w:val="732"/>
    <w:rPr>
      <w:rFonts w:eastAsia="Times New Roman" w:cs="Times New Roman"/>
      <w:shd w:val="clear" w:color="auto" w:fill="ffffff"/>
    </w:rPr>
  </w:style>
  <w:style w:type="paragraph" w:styleId="732" w:customStyle="1">
    <w:name w:val="Основной текст (2)"/>
    <w:basedOn w:val="705"/>
    <w:link w:val="731"/>
    <w:pPr>
      <w:ind w:hanging="700"/>
      <w:jc w:val="both"/>
      <w:spacing w:before="240" w:after="480" w:line="0" w:lineRule="atLeast"/>
      <w:shd w:val="clear" w:color="auto" w:fill="ffffff"/>
      <w:widowControl w:val="off"/>
    </w:pPr>
    <w:rPr>
      <w:rFonts w:eastAsia="Times New Roman" w:cs="Times New Roman"/>
      <w:lang w:val="ru-RU"/>
    </w:rPr>
  </w:style>
  <w:style w:type="character" w:styleId="733" w:customStyle="1">
    <w:name w:val="Текст у виносці Знак"/>
    <w:basedOn w:val="707"/>
    <w:link w:val="734"/>
    <w:uiPriority w:val="99"/>
    <w:semiHidden/>
    <w:rPr>
      <w:rFonts w:ascii="Segoe UI" w:hAnsi="Segoe UI" w:eastAsia="Times New Roman" w:cs="Segoe UI"/>
      <w:sz w:val="18"/>
      <w:szCs w:val="18"/>
      <w:lang w:eastAsia="ru-RU"/>
    </w:rPr>
  </w:style>
  <w:style w:type="paragraph" w:styleId="734">
    <w:name w:val="Balloon Text"/>
    <w:basedOn w:val="705"/>
    <w:link w:val="733"/>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735" w:customStyle="1">
    <w:name w:val="Текст у виносці Знак1"/>
    <w:basedOn w:val="707"/>
    <w:uiPriority w:val="99"/>
    <w:semiHidden/>
    <w:rPr>
      <w:rFonts w:ascii="Segoe UI" w:hAnsi="Segoe UI" w:cs="Segoe UI"/>
      <w:sz w:val="18"/>
      <w:szCs w:val="18"/>
      <w:lang w:val="uk-UA"/>
    </w:rPr>
  </w:style>
  <w:style w:type="character" w:styleId="736" w:customStyle="1">
    <w:name w:val="T23"/>
    <w:rPr>
      <w:rFonts w:hint="default" w:ascii="Times New Roman" w:hAnsi="Times New Roman" w:eastAsia="Times New Roman1" w:cs="Times New Roman"/>
    </w:rPr>
  </w:style>
  <w:style w:type="paragraph" w:styleId="737" w:customStyle="1">
    <w:name w:val="Абзац списку1"/>
    <w:basedOn w:val="705"/>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38" w:customStyle="1">
    <w:name w:val="markedcontent"/>
    <w:basedOn w:val="707"/>
  </w:style>
  <w:style w:type="paragraph" w:styleId="739">
    <w:name w:val="annotation text"/>
    <w:basedOn w:val="705"/>
    <w:link w:val="740"/>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40" w:customStyle="1">
    <w:name w:val="Текст примітки Знак"/>
    <w:basedOn w:val="707"/>
    <w:link w:val="739"/>
    <w:uiPriority w:val="99"/>
    <w:rPr>
      <w:rFonts w:ascii="Times New Roman" w:hAnsi="Times New Roman" w:eastAsia="Times New Roman" w:cs="Times New Roman"/>
      <w:sz w:val="20"/>
      <w:szCs w:val="20"/>
      <w:lang w:eastAsia="ru-RU"/>
    </w:rPr>
  </w:style>
  <w:style w:type="paragraph" w:styleId="741" w:customStyle="1">
    <w:name w:val="Обычный1"/>
    <w:pPr>
      <w:spacing w:after="0" w:line="276" w:lineRule="auto"/>
    </w:pPr>
    <w:rPr>
      <w:rFonts w:ascii="Arial" w:hAnsi="Arial" w:eastAsia="Times New Roman" w:cs="Arial"/>
      <w:color w:val="000000"/>
      <w:lang w:eastAsia="ru-RU"/>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148</cp:revision>
  <dcterms:created xsi:type="dcterms:W3CDTF">2022-11-01T12:47:00Z</dcterms:created>
  <dcterms:modified xsi:type="dcterms:W3CDTF">2023-12-06T15:09:46Z</dcterms:modified>
</cp:coreProperties>
</file>