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3C7DF88"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170E9" w:rsidRPr="003170E9">
        <w:rPr>
          <w:b w:val="0"/>
          <w:bCs w:val="0"/>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3170E9" w:rsidRPr="003170E9">
        <w:rPr>
          <w:b w:val="0"/>
          <w:bCs w:val="0"/>
          <w:sz w:val="24"/>
          <w:szCs w:val="24"/>
        </w:rPr>
        <w:t>відеофіксації</w:t>
      </w:r>
      <w:proofErr w:type="spellEnd"/>
      <w:r w:rsidR="003170E9" w:rsidRPr="003170E9">
        <w:rPr>
          <w:b w:val="0"/>
          <w:bCs w:val="0"/>
          <w:sz w:val="24"/>
          <w:szCs w:val="24"/>
        </w:rPr>
        <w:t xml:space="preserve"> правопорушень у сфері безпеки дорожнього руху “</w:t>
      </w:r>
      <w:proofErr w:type="spellStart"/>
      <w:r w:rsidR="003170E9" w:rsidRPr="003170E9">
        <w:rPr>
          <w:b w:val="0"/>
          <w:bCs w:val="0"/>
          <w:sz w:val="24"/>
          <w:szCs w:val="24"/>
        </w:rPr>
        <w:t>Vega</w:t>
      </w:r>
      <w:proofErr w:type="spellEnd"/>
      <w:r w:rsidR="003170E9" w:rsidRPr="003170E9">
        <w:rPr>
          <w:b w:val="0"/>
          <w:bCs w:val="0"/>
          <w:sz w:val="24"/>
          <w:szCs w:val="24"/>
        </w:rPr>
        <w:t xml:space="preserve"> </w:t>
      </w:r>
      <w:proofErr w:type="spellStart"/>
      <w:r w:rsidR="003170E9" w:rsidRPr="003170E9">
        <w:rPr>
          <w:b w:val="0"/>
          <w:bCs w:val="0"/>
          <w:sz w:val="24"/>
          <w:szCs w:val="24"/>
        </w:rPr>
        <w:t>Smart</w:t>
      </w:r>
      <w:proofErr w:type="spellEnd"/>
      <w:r w:rsidR="003170E9" w:rsidRPr="003170E9">
        <w:rPr>
          <w:b w:val="0"/>
          <w:bCs w:val="0"/>
          <w:sz w:val="24"/>
          <w:szCs w:val="24"/>
        </w:rPr>
        <w:t xml:space="preserve"> </w:t>
      </w:r>
      <w:proofErr w:type="spellStart"/>
      <w:r w:rsidR="003170E9" w:rsidRPr="003170E9">
        <w:rPr>
          <w:b w:val="0"/>
          <w:bCs w:val="0"/>
          <w:sz w:val="24"/>
          <w:szCs w:val="24"/>
        </w:rPr>
        <w:t>Speed</w:t>
      </w:r>
      <w:proofErr w:type="spellEnd"/>
      <w:r w:rsidR="003170E9" w:rsidRPr="003170E9">
        <w:rPr>
          <w:b w:val="0"/>
          <w:bCs w:val="0"/>
          <w:sz w:val="24"/>
          <w:szCs w:val="24"/>
        </w:rPr>
        <w:t xml:space="preserve"> </w:t>
      </w:r>
      <w:proofErr w:type="spellStart"/>
      <w:r w:rsidR="003170E9" w:rsidRPr="003170E9">
        <w:rPr>
          <w:b w:val="0"/>
          <w:bCs w:val="0"/>
          <w:sz w:val="24"/>
          <w:szCs w:val="24"/>
        </w:rPr>
        <w:t>Dual</w:t>
      </w:r>
      <w:proofErr w:type="spellEnd"/>
      <w:r w:rsidR="003170E9" w:rsidRPr="003170E9">
        <w:rPr>
          <w:b w:val="0"/>
          <w:bCs w:val="0"/>
          <w:sz w:val="24"/>
          <w:szCs w:val="24"/>
        </w:rPr>
        <w:t xml:space="preserve"> </w:t>
      </w:r>
      <w:proofErr w:type="spellStart"/>
      <w:r w:rsidR="003170E9" w:rsidRPr="003170E9">
        <w:rPr>
          <w:b w:val="0"/>
          <w:bCs w:val="0"/>
          <w:sz w:val="24"/>
          <w:szCs w:val="24"/>
        </w:rPr>
        <w:t>Band</w:t>
      </w:r>
      <w:proofErr w:type="spellEnd"/>
      <w:r w:rsidR="003170E9" w:rsidRPr="003170E9">
        <w:rPr>
          <w:b w:val="0"/>
          <w:bCs w:val="0"/>
          <w:sz w:val="24"/>
          <w:szCs w:val="24"/>
        </w:rPr>
        <w:t>” за кодом CPV за ЄЗС ДК 021:2015 – 50410000-2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192FB8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3170E9">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3170E9">
        <w:rPr>
          <w:rFonts w:ascii="Times New Roman" w:hAnsi="Times New Roman" w:cs="Times New Roman"/>
          <w:sz w:val="24"/>
          <w:szCs w:val="24"/>
        </w:rPr>
        <w:t>6</w:t>
      </w:r>
      <w:r w:rsidR="00F60A0F" w:rsidRPr="00F90C90">
        <w:rPr>
          <w:rFonts w:ascii="Times New Roman" w:hAnsi="Times New Roman" w:cs="Times New Roman"/>
          <w:sz w:val="24"/>
          <w:szCs w:val="24"/>
        </w:rPr>
        <w:t>-</w:t>
      </w:r>
      <w:r w:rsidR="003170E9">
        <w:rPr>
          <w:rFonts w:ascii="Times New Roman" w:hAnsi="Times New Roman" w:cs="Times New Roman"/>
          <w:sz w:val="24"/>
          <w:szCs w:val="24"/>
        </w:rPr>
        <w:t>013749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B7E0FE7" w:rsid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3170E9" w:rsidRPr="003170E9">
        <w:rPr>
          <w:b w:val="0"/>
          <w:bCs w:val="0"/>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3170E9" w:rsidRPr="003170E9">
        <w:rPr>
          <w:b w:val="0"/>
          <w:bCs w:val="0"/>
          <w:sz w:val="24"/>
          <w:szCs w:val="24"/>
        </w:rPr>
        <w:t>відеофіксації</w:t>
      </w:r>
      <w:proofErr w:type="spellEnd"/>
      <w:r w:rsidR="003170E9" w:rsidRPr="003170E9">
        <w:rPr>
          <w:b w:val="0"/>
          <w:bCs w:val="0"/>
          <w:sz w:val="24"/>
          <w:szCs w:val="24"/>
        </w:rPr>
        <w:t xml:space="preserve"> правопорушень у сфері безпеки дорожнього руху “</w:t>
      </w:r>
      <w:proofErr w:type="spellStart"/>
      <w:r w:rsidR="003170E9" w:rsidRPr="003170E9">
        <w:rPr>
          <w:b w:val="0"/>
          <w:bCs w:val="0"/>
          <w:sz w:val="24"/>
          <w:szCs w:val="24"/>
        </w:rPr>
        <w:t>Vega</w:t>
      </w:r>
      <w:proofErr w:type="spellEnd"/>
      <w:r w:rsidR="003170E9" w:rsidRPr="003170E9">
        <w:rPr>
          <w:b w:val="0"/>
          <w:bCs w:val="0"/>
          <w:sz w:val="24"/>
          <w:szCs w:val="24"/>
        </w:rPr>
        <w:t xml:space="preserve"> </w:t>
      </w:r>
      <w:proofErr w:type="spellStart"/>
      <w:r w:rsidR="003170E9" w:rsidRPr="003170E9">
        <w:rPr>
          <w:b w:val="0"/>
          <w:bCs w:val="0"/>
          <w:sz w:val="24"/>
          <w:szCs w:val="24"/>
        </w:rPr>
        <w:t>Smart</w:t>
      </w:r>
      <w:proofErr w:type="spellEnd"/>
      <w:r w:rsidR="003170E9" w:rsidRPr="003170E9">
        <w:rPr>
          <w:b w:val="0"/>
          <w:bCs w:val="0"/>
          <w:sz w:val="24"/>
          <w:szCs w:val="24"/>
        </w:rPr>
        <w:t xml:space="preserve"> </w:t>
      </w:r>
      <w:proofErr w:type="spellStart"/>
      <w:r w:rsidR="003170E9" w:rsidRPr="003170E9">
        <w:rPr>
          <w:b w:val="0"/>
          <w:bCs w:val="0"/>
          <w:sz w:val="24"/>
          <w:szCs w:val="24"/>
        </w:rPr>
        <w:t>Speed</w:t>
      </w:r>
      <w:proofErr w:type="spellEnd"/>
      <w:r w:rsidR="003170E9" w:rsidRPr="003170E9">
        <w:rPr>
          <w:b w:val="0"/>
          <w:bCs w:val="0"/>
          <w:sz w:val="24"/>
          <w:szCs w:val="24"/>
        </w:rPr>
        <w:t xml:space="preserve"> </w:t>
      </w:r>
      <w:proofErr w:type="spellStart"/>
      <w:r w:rsidR="003170E9" w:rsidRPr="003170E9">
        <w:rPr>
          <w:b w:val="0"/>
          <w:bCs w:val="0"/>
          <w:sz w:val="24"/>
          <w:szCs w:val="24"/>
        </w:rPr>
        <w:t>Dual</w:t>
      </w:r>
      <w:proofErr w:type="spellEnd"/>
      <w:r w:rsidR="003170E9" w:rsidRPr="003170E9">
        <w:rPr>
          <w:b w:val="0"/>
          <w:bCs w:val="0"/>
          <w:sz w:val="24"/>
          <w:szCs w:val="24"/>
        </w:rPr>
        <w:t xml:space="preserve"> </w:t>
      </w:r>
      <w:proofErr w:type="spellStart"/>
      <w:r w:rsidR="003170E9" w:rsidRPr="003170E9">
        <w:rPr>
          <w:b w:val="0"/>
          <w:bCs w:val="0"/>
          <w:sz w:val="24"/>
          <w:szCs w:val="24"/>
        </w:rPr>
        <w:t>Band</w:t>
      </w:r>
      <w:proofErr w:type="spellEnd"/>
      <w:r w:rsidR="003170E9" w:rsidRPr="003170E9">
        <w:rPr>
          <w:b w:val="0"/>
          <w:bCs w:val="0"/>
          <w:sz w:val="24"/>
          <w:szCs w:val="24"/>
        </w:rPr>
        <w:t>” за кодом CPV за ЄЗС ДК 021:2015 – 50410000-2 «Послуги з ремонту і технічного обслуговування вимірювальних, випробувальних і контрольних приладів»</w:t>
      </w:r>
    </w:p>
    <w:p w14:paraId="1132AE3A" w14:textId="77777777" w:rsidR="003170E9" w:rsidRPr="00FC2730" w:rsidRDefault="003170E9" w:rsidP="0086417F">
      <w:pPr>
        <w:pStyle w:val="2"/>
        <w:shd w:val="clear" w:color="auto" w:fill="FFFFFF" w:themeFill="background1"/>
        <w:spacing w:before="0" w:beforeAutospacing="0" w:after="0" w:afterAutospacing="0"/>
        <w:jc w:val="both"/>
        <w:textAlignment w:val="baseline"/>
        <w:rPr>
          <w:b w:val="0"/>
          <w:bCs w:val="0"/>
          <w:sz w:val="24"/>
          <w:szCs w:val="24"/>
        </w:rPr>
      </w:pPr>
    </w:p>
    <w:p w14:paraId="552B83FE" w14:textId="77777777" w:rsidR="00FC2730" w:rsidRPr="00FC2730" w:rsidRDefault="00FC2730" w:rsidP="00FC2730">
      <w:pPr>
        <w:spacing w:after="0" w:line="240" w:lineRule="auto"/>
        <w:ind w:firstLine="357"/>
        <w:jc w:val="center"/>
        <w:rPr>
          <w:rFonts w:ascii="Times New Roman" w:hAnsi="Times New Roman" w:cs="Times New Roman"/>
          <w:b/>
          <w:color w:val="000000"/>
          <w:sz w:val="24"/>
          <w:szCs w:val="24"/>
        </w:rPr>
      </w:pPr>
      <w:r w:rsidRPr="00FC2730">
        <w:rPr>
          <w:rFonts w:ascii="Times New Roman" w:hAnsi="Times New Roman" w:cs="Times New Roman"/>
          <w:b/>
          <w:color w:val="000000"/>
          <w:sz w:val="24"/>
          <w:szCs w:val="24"/>
        </w:rPr>
        <w:t>ТЕХНІЧНІ ВИМОГИ</w:t>
      </w:r>
    </w:p>
    <w:p w14:paraId="0E6437A5" w14:textId="77777777" w:rsidR="003170E9" w:rsidRPr="00D5334F" w:rsidRDefault="003170E9" w:rsidP="003170E9">
      <w:pPr>
        <w:suppressAutoHyphens/>
        <w:jc w:val="center"/>
        <w:rPr>
          <w:rFonts w:ascii="Times New Roman" w:hAnsi="Times New Roman" w:cs="Times New Roman"/>
          <w:b/>
          <w:sz w:val="24"/>
          <w:szCs w:val="24"/>
        </w:rPr>
      </w:pPr>
      <w:r w:rsidRPr="00D5334F">
        <w:rPr>
          <w:rFonts w:ascii="Times New Roman" w:hAnsi="Times New Roman" w:cs="Times New Roman"/>
          <w:b/>
          <w:sz w:val="24"/>
          <w:szCs w:val="24"/>
        </w:rPr>
        <w:t>ІНФОРМАЦІЯ ПРО НЕОБХІДНІ ТЕХНІЧНІ, ЯКІСНІ ТА КІЛЬКІСНІ ХАРАКТЕРИСТИКИ ПРЕДМЕТА ЗАКУПІВЛІ</w:t>
      </w:r>
    </w:p>
    <w:tbl>
      <w:tblPr>
        <w:tblStyle w:val="TableNormal1"/>
        <w:tblW w:w="9225"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4820"/>
        <w:gridCol w:w="1559"/>
        <w:gridCol w:w="1134"/>
        <w:gridCol w:w="1134"/>
      </w:tblGrid>
      <w:tr w:rsidR="003170E9" w:rsidRPr="00D5334F" w14:paraId="5BE9601C" w14:textId="77777777" w:rsidTr="00C80BBD">
        <w:trPr>
          <w:trHeight w:val="964"/>
        </w:trPr>
        <w:tc>
          <w:tcPr>
            <w:tcW w:w="578" w:type="dxa"/>
            <w:vAlign w:val="center"/>
          </w:tcPr>
          <w:p w14:paraId="5A3BAAE0" w14:textId="77777777" w:rsidR="003170E9" w:rsidRPr="00D5334F" w:rsidRDefault="003170E9" w:rsidP="00C80BBD">
            <w:pPr>
              <w:spacing w:after="160" w:line="151" w:lineRule="exact"/>
              <w:jc w:val="center"/>
              <w:rPr>
                <w:b/>
                <w:bCs/>
                <w:sz w:val="24"/>
                <w:szCs w:val="24"/>
              </w:rPr>
            </w:pPr>
            <w:bookmarkStart w:id="0" w:name="_Hlk183014805"/>
          </w:p>
          <w:p w14:paraId="3E1739E1" w14:textId="77777777" w:rsidR="003170E9" w:rsidRPr="00D5334F" w:rsidRDefault="003170E9" w:rsidP="00C80BBD">
            <w:pPr>
              <w:spacing w:after="160" w:line="151" w:lineRule="exact"/>
              <w:jc w:val="center"/>
              <w:rPr>
                <w:b/>
                <w:bCs/>
                <w:sz w:val="24"/>
                <w:szCs w:val="24"/>
              </w:rPr>
            </w:pPr>
            <w:r w:rsidRPr="00D5334F">
              <w:rPr>
                <w:b/>
                <w:bCs/>
                <w:sz w:val="24"/>
                <w:szCs w:val="24"/>
              </w:rPr>
              <w:t>№</w:t>
            </w:r>
          </w:p>
        </w:tc>
        <w:tc>
          <w:tcPr>
            <w:tcW w:w="4820" w:type="dxa"/>
            <w:vAlign w:val="center"/>
          </w:tcPr>
          <w:p w14:paraId="1C1432CC" w14:textId="77777777" w:rsidR="003170E9" w:rsidRPr="00D5334F" w:rsidRDefault="003170E9" w:rsidP="00C80BBD">
            <w:pPr>
              <w:spacing w:after="160"/>
              <w:ind w:left="1596" w:right="1573"/>
              <w:jc w:val="center"/>
              <w:rPr>
                <w:b/>
                <w:bCs/>
                <w:sz w:val="24"/>
                <w:szCs w:val="24"/>
              </w:rPr>
            </w:pPr>
            <w:r w:rsidRPr="00D5334F">
              <w:rPr>
                <w:b/>
                <w:bCs/>
                <w:sz w:val="24"/>
                <w:szCs w:val="24"/>
              </w:rPr>
              <w:t>Найменування</w:t>
            </w:r>
          </w:p>
        </w:tc>
        <w:tc>
          <w:tcPr>
            <w:tcW w:w="1559" w:type="dxa"/>
            <w:vAlign w:val="center"/>
          </w:tcPr>
          <w:p w14:paraId="4DED8F94" w14:textId="77777777" w:rsidR="003170E9" w:rsidRPr="00D5334F" w:rsidRDefault="003170E9" w:rsidP="00C80BBD">
            <w:pPr>
              <w:spacing w:after="160"/>
              <w:jc w:val="center"/>
              <w:rPr>
                <w:b/>
                <w:bCs/>
                <w:sz w:val="24"/>
                <w:szCs w:val="24"/>
              </w:rPr>
            </w:pPr>
            <w:r w:rsidRPr="00D5334F">
              <w:rPr>
                <w:b/>
                <w:bCs/>
                <w:sz w:val="24"/>
                <w:szCs w:val="24"/>
              </w:rPr>
              <w:t>Од. виміру</w:t>
            </w:r>
          </w:p>
        </w:tc>
        <w:tc>
          <w:tcPr>
            <w:tcW w:w="1134" w:type="dxa"/>
          </w:tcPr>
          <w:p w14:paraId="2DAA07F1" w14:textId="77777777" w:rsidR="003170E9" w:rsidRPr="00D5334F" w:rsidRDefault="003170E9" w:rsidP="00C80BBD">
            <w:pPr>
              <w:spacing w:after="160"/>
              <w:jc w:val="center"/>
              <w:rPr>
                <w:b/>
                <w:bCs/>
                <w:sz w:val="24"/>
                <w:szCs w:val="24"/>
              </w:rPr>
            </w:pPr>
            <w:r w:rsidRPr="00D5334F">
              <w:rPr>
                <w:b/>
                <w:bCs/>
                <w:sz w:val="24"/>
                <w:szCs w:val="24"/>
              </w:rPr>
              <w:t>Кількість ПКД</w:t>
            </w:r>
          </w:p>
        </w:tc>
        <w:tc>
          <w:tcPr>
            <w:tcW w:w="1134" w:type="dxa"/>
          </w:tcPr>
          <w:p w14:paraId="6EFF86F5" w14:textId="77777777" w:rsidR="003170E9" w:rsidRPr="00D5334F" w:rsidRDefault="003170E9" w:rsidP="00C80BBD">
            <w:pPr>
              <w:spacing w:after="160"/>
              <w:jc w:val="center"/>
              <w:rPr>
                <w:b/>
                <w:bCs/>
                <w:sz w:val="24"/>
                <w:szCs w:val="24"/>
              </w:rPr>
            </w:pPr>
            <w:r w:rsidRPr="00D5334F">
              <w:rPr>
                <w:b/>
                <w:bCs/>
                <w:sz w:val="24"/>
                <w:szCs w:val="24"/>
              </w:rPr>
              <w:t>Кількість послуг (місяців)</w:t>
            </w:r>
          </w:p>
        </w:tc>
      </w:tr>
      <w:tr w:rsidR="003170E9" w:rsidRPr="00D5334F" w14:paraId="2F4532D3" w14:textId="77777777" w:rsidTr="00C80BBD">
        <w:trPr>
          <w:trHeight w:val="567"/>
        </w:trPr>
        <w:tc>
          <w:tcPr>
            <w:tcW w:w="578" w:type="dxa"/>
            <w:vAlign w:val="center"/>
          </w:tcPr>
          <w:p w14:paraId="2318FCCC" w14:textId="77777777" w:rsidR="003170E9" w:rsidRPr="00D5334F" w:rsidRDefault="003170E9" w:rsidP="00C80BBD">
            <w:pPr>
              <w:spacing w:after="160" w:line="151" w:lineRule="exact"/>
              <w:ind w:left="13"/>
              <w:jc w:val="center"/>
              <w:rPr>
                <w:b/>
                <w:sz w:val="24"/>
                <w:szCs w:val="24"/>
              </w:rPr>
            </w:pPr>
            <w:r w:rsidRPr="00D5334F">
              <w:rPr>
                <w:rFonts w:eastAsia="Calibri"/>
                <w:b/>
                <w:sz w:val="24"/>
                <w:szCs w:val="24"/>
              </w:rPr>
              <w:t>1</w:t>
            </w:r>
          </w:p>
        </w:tc>
        <w:tc>
          <w:tcPr>
            <w:tcW w:w="4820" w:type="dxa"/>
            <w:vAlign w:val="center"/>
          </w:tcPr>
          <w:p w14:paraId="10A6E3CC" w14:textId="77777777" w:rsidR="003170E9" w:rsidRPr="00D5334F" w:rsidRDefault="003170E9" w:rsidP="00C80BBD">
            <w:pPr>
              <w:jc w:val="both"/>
              <w:outlineLvl w:val="1"/>
              <w:rPr>
                <w:spacing w:val="1"/>
                <w:sz w:val="24"/>
                <w:szCs w:val="24"/>
              </w:rPr>
            </w:pPr>
            <w:r w:rsidRPr="00D5334F">
              <w:rPr>
                <w:spacing w:val="1"/>
                <w:sz w:val="24"/>
                <w:szCs w:val="24"/>
              </w:rPr>
              <w:t xml:space="preserve">Технічне обслуговування </w:t>
            </w:r>
            <w:r>
              <w:rPr>
                <w:spacing w:val="1"/>
                <w:sz w:val="24"/>
                <w:szCs w:val="24"/>
              </w:rPr>
              <w:t xml:space="preserve">- </w:t>
            </w:r>
            <w:r w:rsidRPr="00D5334F">
              <w:rPr>
                <w:spacing w:val="1"/>
                <w:sz w:val="24"/>
                <w:szCs w:val="24"/>
              </w:rPr>
              <w:t>Комплексів автоматичної фіксації порушень Правил дорожнього руху «</w:t>
            </w:r>
            <w:proofErr w:type="spellStart"/>
            <w:r w:rsidRPr="00D5334F">
              <w:rPr>
                <w:spacing w:val="1"/>
                <w:sz w:val="24"/>
                <w:szCs w:val="24"/>
              </w:rPr>
              <w:t>Vega</w:t>
            </w:r>
            <w:proofErr w:type="spellEnd"/>
            <w:r w:rsidRPr="00D5334F">
              <w:rPr>
                <w:spacing w:val="1"/>
                <w:sz w:val="24"/>
                <w:szCs w:val="24"/>
              </w:rPr>
              <w:t xml:space="preserve"> </w:t>
            </w:r>
            <w:proofErr w:type="spellStart"/>
            <w:r w:rsidRPr="00D5334F">
              <w:rPr>
                <w:spacing w:val="1"/>
                <w:sz w:val="24"/>
                <w:szCs w:val="24"/>
              </w:rPr>
              <w:t>Smart</w:t>
            </w:r>
            <w:proofErr w:type="spellEnd"/>
            <w:r w:rsidRPr="00D5334F">
              <w:rPr>
                <w:spacing w:val="1"/>
                <w:sz w:val="24"/>
                <w:szCs w:val="24"/>
              </w:rPr>
              <w:t xml:space="preserve"> </w:t>
            </w:r>
            <w:proofErr w:type="spellStart"/>
            <w:r w:rsidRPr="00D5334F">
              <w:rPr>
                <w:spacing w:val="1"/>
                <w:sz w:val="24"/>
                <w:szCs w:val="24"/>
              </w:rPr>
              <w:t>Speed</w:t>
            </w:r>
            <w:proofErr w:type="spellEnd"/>
            <w:r w:rsidRPr="00D5334F">
              <w:rPr>
                <w:spacing w:val="1"/>
                <w:sz w:val="24"/>
                <w:szCs w:val="24"/>
              </w:rPr>
              <w:t xml:space="preserve"> </w:t>
            </w:r>
            <w:proofErr w:type="spellStart"/>
            <w:r w:rsidRPr="00D5334F">
              <w:rPr>
                <w:spacing w:val="1"/>
                <w:sz w:val="24"/>
                <w:szCs w:val="24"/>
              </w:rPr>
              <w:t>Dual</w:t>
            </w:r>
            <w:proofErr w:type="spellEnd"/>
            <w:r w:rsidRPr="00D5334F">
              <w:rPr>
                <w:spacing w:val="1"/>
                <w:sz w:val="24"/>
                <w:szCs w:val="24"/>
              </w:rPr>
              <w:t xml:space="preserve"> </w:t>
            </w:r>
            <w:proofErr w:type="spellStart"/>
            <w:r w:rsidRPr="00D5334F">
              <w:rPr>
                <w:spacing w:val="1"/>
                <w:sz w:val="24"/>
                <w:szCs w:val="24"/>
              </w:rPr>
              <w:t>Band</w:t>
            </w:r>
            <w:proofErr w:type="spellEnd"/>
            <w:r w:rsidRPr="00D5334F">
              <w:rPr>
                <w:spacing w:val="1"/>
                <w:sz w:val="24"/>
                <w:szCs w:val="24"/>
              </w:rPr>
              <w:t>»</w:t>
            </w:r>
          </w:p>
        </w:tc>
        <w:tc>
          <w:tcPr>
            <w:tcW w:w="1559" w:type="dxa"/>
            <w:vAlign w:val="center"/>
          </w:tcPr>
          <w:p w14:paraId="6D7DB9BC" w14:textId="77777777" w:rsidR="003170E9" w:rsidRPr="00D5334F" w:rsidRDefault="003170E9" w:rsidP="00C80BBD">
            <w:pPr>
              <w:spacing w:after="160"/>
              <w:ind w:left="122" w:right="62"/>
              <w:jc w:val="center"/>
              <w:rPr>
                <w:b/>
                <w:bCs/>
                <w:sz w:val="24"/>
                <w:szCs w:val="24"/>
              </w:rPr>
            </w:pPr>
            <w:r w:rsidRPr="00D5334F">
              <w:rPr>
                <w:b/>
                <w:bCs/>
                <w:sz w:val="24"/>
                <w:szCs w:val="24"/>
              </w:rPr>
              <w:t>послуга</w:t>
            </w:r>
          </w:p>
        </w:tc>
        <w:tc>
          <w:tcPr>
            <w:tcW w:w="1134" w:type="dxa"/>
            <w:vAlign w:val="center"/>
          </w:tcPr>
          <w:p w14:paraId="0B4B5D15" w14:textId="77777777" w:rsidR="003170E9" w:rsidRPr="00D5334F" w:rsidRDefault="003170E9" w:rsidP="00C80BBD">
            <w:pPr>
              <w:spacing w:before="3" w:after="160"/>
              <w:jc w:val="center"/>
              <w:rPr>
                <w:b/>
                <w:bCs/>
                <w:sz w:val="24"/>
                <w:szCs w:val="24"/>
              </w:rPr>
            </w:pPr>
            <w:r>
              <w:rPr>
                <w:b/>
                <w:bCs/>
                <w:sz w:val="24"/>
                <w:szCs w:val="24"/>
              </w:rPr>
              <w:t>30</w:t>
            </w:r>
          </w:p>
        </w:tc>
        <w:tc>
          <w:tcPr>
            <w:tcW w:w="1134" w:type="dxa"/>
            <w:vAlign w:val="center"/>
          </w:tcPr>
          <w:p w14:paraId="653EA4CD" w14:textId="77777777" w:rsidR="003170E9" w:rsidRPr="00D5334F" w:rsidRDefault="003170E9" w:rsidP="00C80BBD">
            <w:pPr>
              <w:spacing w:before="3" w:after="160"/>
              <w:jc w:val="center"/>
              <w:rPr>
                <w:b/>
                <w:bCs/>
                <w:sz w:val="24"/>
                <w:szCs w:val="24"/>
              </w:rPr>
            </w:pPr>
            <w:r>
              <w:rPr>
                <w:b/>
                <w:bCs/>
                <w:sz w:val="24"/>
                <w:szCs w:val="24"/>
              </w:rPr>
              <w:t>10</w:t>
            </w:r>
          </w:p>
        </w:tc>
      </w:tr>
      <w:bookmarkEnd w:id="0"/>
    </w:tbl>
    <w:p w14:paraId="0CBBA724" w14:textId="77777777" w:rsidR="003170E9" w:rsidRDefault="003170E9" w:rsidP="003170E9">
      <w:pPr>
        <w:spacing w:before="20" w:after="20" w:line="240" w:lineRule="auto"/>
        <w:ind w:right="-1" w:firstLine="737"/>
        <w:jc w:val="center"/>
        <w:rPr>
          <w:rFonts w:ascii="Times New Roman" w:eastAsia="Calibri" w:hAnsi="Times New Roman" w:cs="Times New Roman"/>
          <w:b/>
          <w:sz w:val="24"/>
          <w:szCs w:val="24"/>
          <w:lang w:eastAsia="ru-RU"/>
        </w:rPr>
      </w:pPr>
    </w:p>
    <w:p w14:paraId="4F1F44A2" w14:textId="77777777" w:rsidR="003170E9" w:rsidRPr="003170E9" w:rsidRDefault="003170E9" w:rsidP="003170E9">
      <w:pPr>
        <w:suppressAutoHyphens/>
        <w:spacing w:after="0" w:line="240" w:lineRule="auto"/>
        <w:ind w:right="-1"/>
        <w:jc w:val="center"/>
        <w:rPr>
          <w:rFonts w:ascii="Times New Roman" w:eastAsia="Calibri" w:hAnsi="Times New Roman" w:cs="Times New Roman"/>
          <w:b/>
          <w:sz w:val="24"/>
          <w:szCs w:val="24"/>
          <w:lang w:eastAsia="ru-RU"/>
        </w:rPr>
      </w:pPr>
      <w:r w:rsidRPr="003170E9">
        <w:rPr>
          <w:rFonts w:ascii="Times New Roman" w:eastAsia="Calibri" w:hAnsi="Times New Roman" w:cs="Times New Roman"/>
          <w:b/>
          <w:sz w:val="24"/>
          <w:szCs w:val="24"/>
          <w:lang w:eastAsia="ru-RU"/>
        </w:rPr>
        <w:t>ТЕХНІЧНІ ВИМОГИ</w:t>
      </w:r>
    </w:p>
    <w:p w14:paraId="7D98D270" w14:textId="77777777" w:rsidR="003170E9" w:rsidRPr="003170E9" w:rsidRDefault="003170E9" w:rsidP="003170E9">
      <w:pPr>
        <w:suppressAutoHyphens/>
        <w:spacing w:after="0" w:line="240" w:lineRule="auto"/>
        <w:ind w:right="-1"/>
        <w:jc w:val="center"/>
        <w:rPr>
          <w:rFonts w:ascii="Times New Roman" w:eastAsia="Calibri" w:hAnsi="Times New Roman" w:cs="Times New Roman"/>
          <w:b/>
          <w:sz w:val="24"/>
          <w:szCs w:val="24"/>
          <w:lang w:eastAsia="ru-RU"/>
        </w:rPr>
      </w:pPr>
      <w:r w:rsidRPr="003170E9">
        <w:rPr>
          <w:rFonts w:ascii="Times New Roman" w:eastAsia="Calibri" w:hAnsi="Times New Roman" w:cs="Times New Roman"/>
          <w:b/>
          <w:sz w:val="24"/>
          <w:szCs w:val="24"/>
          <w:lang w:eastAsia="ru-RU"/>
        </w:rPr>
        <w:t>Інформація про необхідні технічні, якісні, кількісні та інші характеристики предмета закупівлі (технічні вимоги)</w:t>
      </w:r>
    </w:p>
    <w:p w14:paraId="6ACE1FDA" w14:textId="77777777" w:rsidR="003170E9" w:rsidRPr="003170E9" w:rsidRDefault="003170E9" w:rsidP="003170E9">
      <w:pPr>
        <w:spacing w:after="0" w:line="240" w:lineRule="auto"/>
        <w:ind w:right="-1" w:firstLine="737"/>
        <w:jc w:val="center"/>
        <w:rPr>
          <w:rFonts w:ascii="Times New Roman" w:eastAsia="Calibri" w:hAnsi="Times New Roman" w:cs="Times New Roman"/>
          <w:b/>
          <w:sz w:val="24"/>
          <w:szCs w:val="24"/>
          <w:lang w:eastAsia="ru-RU"/>
        </w:rPr>
      </w:pPr>
    </w:p>
    <w:p w14:paraId="00A8D021" w14:textId="77777777" w:rsidR="003170E9" w:rsidRPr="003170E9" w:rsidRDefault="003170E9" w:rsidP="003170E9">
      <w:pPr>
        <w:numPr>
          <w:ilvl w:val="0"/>
          <w:numId w:val="37"/>
        </w:numPr>
        <w:spacing w:after="0" w:line="240" w:lineRule="auto"/>
        <w:contextualSpacing/>
        <w:jc w:val="center"/>
        <w:rPr>
          <w:rFonts w:ascii="Times New Roman" w:eastAsia="Calibri" w:hAnsi="Times New Roman" w:cs="Times New Roman"/>
          <w:b/>
          <w:sz w:val="24"/>
          <w:szCs w:val="24"/>
          <w:lang w:eastAsia="ru-RU"/>
        </w:rPr>
      </w:pPr>
      <w:r w:rsidRPr="003170E9">
        <w:rPr>
          <w:rFonts w:ascii="Times New Roman" w:eastAsia="Calibri" w:hAnsi="Times New Roman" w:cs="Times New Roman"/>
          <w:b/>
          <w:sz w:val="24"/>
          <w:szCs w:val="24"/>
          <w:lang w:eastAsia="ru-RU"/>
        </w:rPr>
        <w:t>Загальна інформація.</w:t>
      </w:r>
    </w:p>
    <w:p w14:paraId="6745450C" w14:textId="77777777" w:rsidR="003170E9" w:rsidRPr="003170E9" w:rsidRDefault="003170E9" w:rsidP="003170E9">
      <w:pPr>
        <w:spacing w:after="0" w:line="240" w:lineRule="auto"/>
        <w:ind w:firstLine="709"/>
        <w:contextualSpacing/>
        <w:jc w:val="both"/>
        <w:rPr>
          <w:rFonts w:ascii="Times New Roman" w:eastAsia="Calibri" w:hAnsi="Times New Roman" w:cs="Times New Roman"/>
          <w:bCs/>
          <w:sz w:val="24"/>
          <w:szCs w:val="24"/>
          <w:lang w:eastAsia="ru-RU"/>
        </w:rPr>
      </w:pPr>
      <w:r w:rsidRPr="003170E9">
        <w:rPr>
          <w:rFonts w:ascii="Times New Roman" w:eastAsia="Calibri" w:hAnsi="Times New Roman" w:cs="Times New Roman"/>
          <w:bCs/>
          <w:sz w:val="24"/>
          <w:szCs w:val="24"/>
          <w:lang w:eastAsia="ru-RU"/>
        </w:rPr>
        <w:t xml:space="preserve">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технічних засобів (приладів контролю), які забезпечують в автоматичному режимі фотозйомку або відеозапис подій, що містять ознаки адміністративних правопорушень у сфері забезпечення безпеки дорожнього руху (далі – Комплексів автоматичної фіксації порушень Правил дорожнього руху </w:t>
      </w:r>
      <w:r w:rsidRPr="003170E9">
        <w:rPr>
          <w:rFonts w:ascii="Times New Roman" w:eastAsia="Calibri" w:hAnsi="Times New Roman" w:cs="Times New Roman"/>
          <w:bCs/>
          <w:sz w:val="24"/>
          <w:szCs w:val="24"/>
          <w:lang w:val="en-US" w:eastAsia="ru-RU"/>
        </w:rPr>
        <w:t>Vega Smart Speed Dual Band</w:t>
      </w:r>
      <w:r w:rsidRPr="003170E9">
        <w:rPr>
          <w:rFonts w:ascii="Times New Roman" w:eastAsia="Calibri" w:hAnsi="Times New Roman" w:cs="Times New Roman"/>
          <w:bCs/>
          <w:sz w:val="24"/>
          <w:szCs w:val="24"/>
          <w:lang w:eastAsia="ru-RU"/>
        </w:rPr>
        <w:t xml:space="preserve">, Комплексів </w:t>
      </w:r>
      <w:r w:rsidRPr="003170E9">
        <w:rPr>
          <w:rFonts w:ascii="Times New Roman" w:eastAsia="Calibri" w:hAnsi="Times New Roman" w:cs="Times New Roman"/>
          <w:bCs/>
          <w:sz w:val="24"/>
          <w:szCs w:val="24"/>
          <w:lang w:val="en-US" w:eastAsia="ru-RU"/>
        </w:rPr>
        <w:t>VSSDB</w:t>
      </w:r>
      <w:r w:rsidRPr="003170E9">
        <w:rPr>
          <w:rFonts w:ascii="Times New Roman" w:eastAsia="Calibri" w:hAnsi="Times New Roman" w:cs="Times New Roman"/>
          <w:bCs/>
          <w:sz w:val="24"/>
          <w:szCs w:val="24"/>
          <w:lang w:eastAsia="ru-RU"/>
        </w:rPr>
        <w:t xml:space="preserve">), які здійснюються </w:t>
      </w:r>
      <w:r w:rsidRPr="003170E9">
        <w:rPr>
          <w:rFonts w:ascii="Times New Roman" w:eastAsia="Calibri" w:hAnsi="Times New Roman" w:cs="Times New Roman"/>
          <w:bCs/>
          <w:sz w:val="24"/>
          <w:szCs w:val="24"/>
          <w:lang w:eastAsia="ru-RU"/>
        </w:rPr>
        <w:lastRenderedPageBreak/>
        <w:t>шляхом виконання робіт з обслуговування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6776CD00" w14:textId="77777777" w:rsidR="003170E9" w:rsidRPr="003170E9" w:rsidRDefault="003170E9" w:rsidP="003170E9">
      <w:pPr>
        <w:spacing w:after="0" w:line="240" w:lineRule="auto"/>
        <w:ind w:firstLine="720"/>
        <w:jc w:val="both"/>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Комплекси забезпечують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53A37707" w14:textId="77777777" w:rsidR="003170E9" w:rsidRPr="003170E9" w:rsidRDefault="003170E9" w:rsidP="003170E9">
      <w:pPr>
        <w:spacing w:after="0" w:line="240" w:lineRule="auto"/>
        <w:ind w:firstLine="720"/>
        <w:jc w:val="both"/>
        <w:rPr>
          <w:rFonts w:ascii="Times New Roman" w:eastAsia="Times New Roman" w:hAnsi="Times New Roman" w:cs="Times New Roman"/>
          <w:sz w:val="24"/>
          <w:szCs w:val="24"/>
          <w:lang w:val="en-US" w:eastAsia="uk-UA"/>
        </w:rPr>
      </w:pPr>
      <w:r w:rsidRPr="003170E9">
        <w:rPr>
          <w:rFonts w:ascii="Times New Roman" w:eastAsia="Times New Roman" w:hAnsi="Times New Roman" w:cs="Times New Roman"/>
          <w:sz w:val="24"/>
          <w:szCs w:val="24"/>
          <w:lang w:eastAsia="uk-UA"/>
        </w:rPr>
        <w:t>Технічні обслуговування проводяться з метою підтримання працездатного стану Комплексів VSSDB</w:t>
      </w:r>
      <w:r w:rsidRPr="003170E9">
        <w:rPr>
          <w:rFonts w:ascii="Times New Roman" w:eastAsia="Times New Roman" w:hAnsi="Times New Roman" w:cs="Times New Roman"/>
          <w:sz w:val="24"/>
          <w:szCs w:val="24"/>
          <w:lang w:val="ru-RU" w:eastAsia="uk-UA"/>
        </w:rPr>
        <w:t xml:space="preserve"> в </w:t>
      </w:r>
      <w:proofErr w:type="spellStart"/>
      <w:r w:rsidRPr="003170E9">
        <w:rPr>
          <w:rFonts w:ascii="Times New Roman" w:eastAsia="Times New Roman" w:hAnsi="Times New Roman" w:cs="Times New Roman"/>
          <w:sz w:val="24"/>
          <w:szCs w:val="24"/>
          <w:lang w:val="ru-RU" w:eastAsia="uk-UA"/>
        </w:rPr>
        <w:t>робочі</w:t>
      </w:r>
      <w:proofErr w:type="spellEnd"/>
      <w:r w:rsidRPr="003170E9">
        <w:rPr>
          <w:rFonts w:ascii="Times New Roman" w:eastAsia="Times New Roman" w:hAnsi="Times New Roman" w:cs="Times New Roman"/>
          <w:sz w:val="24"/>
          <w:szCs w:val="24"/>
          <w:lang w:val="ru-RU" w:eastAsia="uk-UA"/>
        </w:rPr>
        <w:t xml:space="preserve"> </w:t>
      </w:r>
      <w:proofErr w:type="spellStart"/>
      <w:r w:rsidRPr="003170E9">
        <w:rPr>
          <w:rFonts w:ascii="Times New Roman" w:eastAsia="Times New Roman" w:hAnsi="Times New Roman" w:cs="Times New Roman"/>
          <w:sz w:val="24"/>
          <w:szCs w:val="24"/>
          <w:lang w:val="ru-RU" w:eastAsia="uk-UA"/>
        </w:rPr>
        <w:t>дні</w:t>
      </w:r>
      <w:proofErr w:type="spellEnd"/>
      <w:r w:rsidRPr="003170E9">
        <w:rPr>
          <w:rFonts w:ascii="Times New Roman" w:eastAsia="Times New Roman" w:hAnsi="Times New Roman" w:cs="Times New Roman"/>
          <w:sz w:val="24"/>
          <w:szCs w:val="24"/>
          <w:lang w:val="ru-RU" w:eastAsia="uk-UA"/>
        </w:rPr>
        <w:t xml:space="preserve"> з 09:00 до 18:00, у </w:t>
      </w:r>
      <w:proofErr w:type="spellStart"/>
      <w:r w:rsidRPr="003170E9">
        <w:rPr>
          <w:rFonts w:ascii="Times New Roman" w:eastAsia="Times New Roman" w:hAnsi="Times New Roman" w:cs="Times New Roman"/>
          <w:sz w:val="24"/>
          <w:szCs w:val="24"/>
          <w:lang w:val="ru-RU" w:eastAsia="uk-UA"/>
        </w:rPr>
        <w:t>вихідні</w:t>
      </w:r>
      <w:proofErr w:type="spellEnd"/>
      <w:r w:rsidRPr="003170E9">
        <w:rPr>
          <w:rFonts w:ascii="Times New Roman" w:eastAsia="Times New Roman" w:hAnsi="Times New Roman" w:cs="Times New Roman"/>
          <w:sz w:val="24"/>
          <w:szCs w:val="24"/>
          <w:lang w:val="ru-RU" w:eastAsia="uk-UA"/>
        </w:rPr>
        <w:t xml:space="preserve"> </w:t>
      </w:r>
      <w:proofErr w:type="spellStart"/>
      <w:r w:rsidRPr="003170E9">
        <w:rPr>
          <w:rFonts w:ascii="Times New Roman" w:eastAsia="Times New Roman" w:hAnsi="Times New Roman" w:cs="Times New Roman"/>
          <w:sz w:val="24"/>
          <w:szCs w:val="24"/>
          <w:lang w:val="ru-RU" w:eastAsia="uk-UA"/>
        </w:rPr>
        <w:t>дні</w:t>
      </w:r>
      <w:proofErr w:type="spellEnd"/>
      <w:r w:rsidRPr="003170E9">
        <w:rPr>
          <w:rFonts w:ascii="Times New Roman" w:eastAsia="Times New Roman" w:hAnsi="Times New Roman" w:cs="Times New Roman"/>
          <w:sz w:val="24"/>
          <w:szCs w:val="24"/>
          <w:lang w:val="ru-RU" w:eastAsia="uk-UA"/>
        </w:rPr>
        <w:t xml:space="preserve"> з 09:00 до 16:00</w:t>
      </w:r>
      <w:r w:rsidRPr="003170E9">
        <w:rPr>
          <w:rFonts w:ascii="Times New Roman" w:eastAsia="Times New Roman" w:hAnsi="Times New Roman" w:cs="Times New Roman"/>
          <w:sz w:val="24"/>
          <w:szCs w:val="24"/>
          <w:lang w:eastAsia="uk-UA"/>
        </w:rPr>
        <w:t>.</w:t>
      </w:r>
    </w:p>
    <w:p w14:paraId="411A3550" w14:textId="77777777" w:rsidR="003170E9" w:rsidRPr="003170E9" w:rsidRDefault="003170E9" w:rsidP="003170E9">
      <w:pPr>
        <w:spacing w:after="0" w:line="240" w:lineRule="auto"/>
        <w:ind w:firstLine="567"/>
        <w:jc w:val="both"/>
        <w:rPr>
          <w:rFonts w:ascii="Times New Roman" w:eastAsia="Times New Roman" w:hAnsi="Times New Roman" w:cs="Times New Roman"/>
          <w:sz w:val="24"/>
          <w:szCs w:val="24"/>
          <w:lang w:val="en-US" w:eastAsia="uk-UA"/>
        </w:rPr>
      </w:pPr>
      <w:bookmarkStart w:id="1" w:name="_Hlk217392148"/>
      <w:r w:rsidRPr="003170E9">
        <w:rPr>
          <w:rFonts w:ascii="Times New Roman" w:eastAsia="Times New Roman" w:hAnsi="Times New Roman" w:cs="Times New Roman"/>
          <w:sz w:val="24"/>
          <w:szCs w:val="24"/>
          <w:lang w:eastAsia="uk-UA"/>
        </w:rPr>
        <w:t>Послуги надаються щомісячно протягом 2026 року.</w:t>
      </w:r>
      <w:bookmarkEnd w:id="1"/>
    </w:p>
    <w:p w14:paraId="257C1BE0" w14:textId="77777777" w:rsidR="003170E9" w:rsidRPr="003170E9" w:rsidRDefault="003170E9" w:rsidP="003170E9">
      <w:pPr>
        <w:spacing w:after="0" w:line="240" w:lineRule="auto"/>
        <w:ind w:firstLine="720"/>
        <w:jc w:val="both"/>
        <w:rPr>
          <w:rFonts w:ascii="Times New Roman" w:eastAsia="Times New Roman" w:hAnsi="Times New Roman" w:cs="Times New Roman"/>
          <w:sz w:val="24"/>
          <w:szCs w:val="24"/>
          <w:lang w:eastAsia="uk-UA"/>
        </w:rPr>
      </w:pPr>
    </w:p>
    <w:p w14:paraId="254623BD" w14:textId="77777777" w:rsidR="003170E9" w:rsidRPr="003170E9" w:rsidRDefault="003170E9" w:rsidP="003170E9">
      <w:pPr>
        <w:spacing w:after="0" w:line="240" w:lineRule="auto"/>
        <w:contextualSpacing/>
        <w:jc w:val="both"/>
        <w:rPr>
          <w:rFonts w:ascii="Times New Roman" w:eastAsia="Calibri" w:hAnsi="Times New Roman" w:cs="Times New Roman"/>
          <w:iCs/>
          <w:sz w:val="24"/>
          <w:szCs w:val="24"/>
          <w:lang w:eastAsia="ru-RU"/>
        </w:rPr>
      </w:pPr>
      <w:r w:rsidRPr="003170E9">
        <w:rPr>
          <w:rFonts w:ascii="Times New Roman" w:eastAsia="Calibri" w:hAnsi="Times New Roman" w:cs="Times New Roman"/>
          <w:b/>
          <w:sz w:val="24"/>
          <w:szCs w:val="24"/>
          <w:lang w:eastAsia="ru-RU"/>
        </w:rPr>
        <w:t>2. Гранична кількість Комплексів VSSDB, що підлягають технічному обслуговуванню, становить 30 шт.</w:t>
      </w:r>
      <w:bookmarkStart w:id="2" w:name="_ix7pg7m7aggh"/>
      <w:bookmarkStart w:id="3" w:name="_8lhjtjsyighw"/>
      <w:bookmarkEnd w:id="2"/>
      <w:bookmarkEnd w:id="3"/>
    </w:p>
    <w:p w14:paraId="0ED5C874" w14:textId="77777777" w:rsidR="003170E9" w:rsidRPr="003170E9" w:rsidRDefault="003170E9" w:rsidP="003170E9">
      <w:pPr>
        <w:spacing w:after="0" w:line="240" w:lineRule="auto"/>
        <w:contextualSpacing/>
        <w:jc w:val="both"/>
        <w:rPr>
          <w:rFonts w:ascii="Times New Roman" w:eastAsia="Calibri" w:hAnsi="Times New Roman" w:cs="Times New Roman"/>
          <w:iCs/>
          <w:sz w:val="24"/>
          <w:szCs w:val="24"/>
          <w:lang w:eastAsia="ru-RU"/>
        </w:rPr>
      </w:pPr>
    </w:p>
    <w:p w14:paraId="3A77C5DC" w14:textId="77777777" w:rsidR="003170E9" w:rsidRPr="003170E9" w:rsidRDefault="003170E9" w:rsidP="003170E9">
      <w:pPr>
        <w:spacing w:after="0" w:line="240" w:lineRule="auto"/>
        <w:ind w:firstLine="567"/>
        <w:jc w:val="both"/>
        <w:rPr>
          <w:rFonts w:ascii="Times New Roman" w:eastAsia="Times New Roman" w:hAnsi="Times New Roman" w:cs="Times New Roman"/>
          <w:bCs/>
          <w:sz w:val="24"/>
          <w:szCs w:val="24"/>
          <w:lang w:eastAsia="uk-UA"/>
        </w:rPr>
      </w:pPr>
      <w:bookmarkStart w:id="4" w:name="_Hlk217392500"/>
      <w:r w:rsidRPr="003170E9">
        <w:rPr>
          <w:rFonts w:ascii="Times New Roman" w:eastAsia="Times New Roman" w:hAnsi="Times New Roman" w:cs="Times New Roman"/>
          <w:bCs/>
          <w:sz w:val="24"/>
          <w:szCs w:val="24"/>
          <w:lang w:eastAsia="uk-UA"/>
        </w:rPr>
        <w:t>Зазначена кількість Комплексів VSSDB є максимальною для обслуговування у 2026 році, при цьому за місяць відображається фактична кількість Комплексів VSSDB, які підлягають технічному обслуговуванню в поточному місяці, без врахування Комплексів VSSDB, які перебувають в ремонті, не встановлені на аварійно-небезпечній ділянці та/або місці концентрації дорожньо-транспортних пригод, які не доцільно обслуговувати через довготривалу відсутність належної інфраструктури (відсутність електроживлення, зв’язку, опори, тощо).</w:t>
      </w:r>
    </w:p>
    <w:p w14:paraId="1FEE59D9" w14:textId="77777777" w:rsidR="003170E9" w:rsidRPr="003170E9" w:rsidRDefault="003170E9" w:rsidP="003170E9">
      <w:pPr>
        <w:spacing w:after="0" w:line="240" w:lineRule="auto"/>
        <w:ind w:firstLine="567"/>
        <w:jc w:val="both"/>
        <w:rPr>
          <w:rFonts w:ascii="Times New Roman" w:eastAsia="Times New Roman" w:hAnsi="Times New Roman" w:cs="Times New Roman"/>
          <w:bCs/>
          <w:sz w:val="24"/>
          <w:szCs w:val="24"/>
          <w:lang w:eastAsia="uk-UA"/>
        </w:rPr>
      </w:pPr>
      <w:r w:rsidRPr="003170E9">
        <w:rPr>
          <w:rFonts w:ascii="Times New Roman" w:eastAsia="Times New Roman" w:hAnsi="Times New Roman" w:cs="Times New Roman"/>
          <w:bCs/>
          <w:sz w:val="24"/>
          <w:szCs w:val="24"/>
          <w:lang w:eastAsia="uk-UA"/>
        </w:rPr>
        <w:t>На початку кожного місяця Замовник засобами електронного зв’язку затверджує вичерпний перелік Комплексів VSSDB для обслуговування на поточний місяць.</w:t>
      </w:r>
    </w:p>
    <w:p w14:paraId="15F993E8" w14:textId="77777777" w:rsidR="003170E9" w:rsidRPr="003170E9" w:rsidRDefault="003170E9" w:rsidP="003170E9">
      <w:pPr>
        <w:spacing w:after="0" w:line="240" w:lineRule="auto"/>
        <w:ind w:firstLine="567"/>
        <w:jc w:val="both"/>
        <w:rPr>
          <w:rFonts w:ascii="Times New Roman" w:eastAsia="Times New Roman" w:hAnsi="Times New Roman" w:cs="Times New Roman"/>
          <w:bCs/>
          <w:sz w:val="24"/>
          <w:szCs w:val="24"/>
          <w:lang w:val="en-US" w:eastAsia="uk-UA"/>
        </w:rPr>
      </w:pPr>
      <w:r w:rsidRPr="003170E9">
        <w:rPr>
          <w:rFonts w:ascii="Times New Roman" w:eastAsia="Times New Roman" w:hAnsi="Times New Roman" w:cs="Times New Roman"/>
          <w:bCs/>
          <w:sz w:val="24"/>
          <w:szCs w:val="24"/>
          <w:lang w:eastAsia="uk-UA"/>
        </w:rPr>
        <w:t>Наприкінці 2026 року укладається додаткова угода до договору, яка відображатиме фактичний обсяг наданих послуг за 2026 рік.</w:t>
      </w:r>
    </w:p>
    <w:bookmarkEnd w:id="4"/>
    <w:p w14:paraId="22ABD5FE" w14:textId="77777777" w:rsidR="003170E9" w:rsidRPr="003170E9" w:rsidRDefault="003170E9" w:rsidP="003170E9">
      <w:pPr>
        <w:spacing w:after="0" w:line="240" w:lineRule="auto"/>
        <w:rPr>
          <w:rFonts w:ascii="Times New Roman" w:eastAsia="Times New Roman" w:hAnsi="Times New Roman" w:cs="Times New Roman"/>
          <w:b/>
          <w:sz w:val="24"/>
          <w:szCs w:val="24"/>
          <w:lang w:eastAsia="uk-UA"/>
        </w:rPr>
      </w:pPr>
    </w:p>
    <w:p w14:paraId="353D3948" w14:textId="77777777" w:rsidR="003170E9" w:rsidRPr="003170E9" w:rsidRDefault="003170E9" w:rsidP="003170E9">
      <w:pPr>
        <w:spacing w:after="0" w:line="240" w:lineRule="auto"/>
        <w:ind w:left="567"/>
        <w:rPr>
          <w:rFonts w:ascii="Times New Roman" w:eastAsia="Times New Roman" w:hAnsi="Times New Roman" w:cs="Times New Roman"/>
          <w:b/>
          <w:sz w:val="24"/>
          <w:szCs w:val="24"/>
          <w:lang w:eastAsia="uk-UA"/>
        </w:rPr>
      </w:pPr>
      <w:r w:rsidRPr="003170E9">
        <w:rPr>
          <w:rFonts w:ascii="Times New Roman" w:eastAsia="Times New Roman" w:hAnsi="Times New Roman" w:cs="Times New Roman"/>
          <w:b/>
          <w:sz w:val="24"/>
          <w:szCs w:val="24"/>
          <w:lang w:eastAsia="uk-UA"/>
        </w:rPr>
        <w:t>3. Перелік послуг технічного обслуговування та періодичність їх виконання:</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334"/>
        <w:gridCol w:w="2300"/>
      </w:tblGrid>
      <w:tr w:rsidR="003170E9" w:rsidRPr="003170E9" w14:paraId="7702CAE8" w14:textId="77777777" w:rsidTr="00C80BBD">
        <w:trPr>
          <w:trHeight w:val="696"/>
        </w:trPr>
        <w:tc>
          <w:tcPr>
            <w:tcW w:w="7334" w:type="dxa"/>
            <w:tcBorders>
              <w:top w:val="single" w:sz="4" w:space="0" w:color="00000A"/>
              <w:left w:val="single" w:sz="4" w:space="0" w:color="00000A"/>
              <w:bottom w:val="single" w:sz="4" w:space="0" w:color="00000A"/>
              <w:right w:val="single" w:sz="4" w:space="0" w:color="00000A"/>
            </w:tcBorders>
            <w:vAlign w:val="center"/>
          </w:tcPr>
          <w:p w14:paraId="08CB47FE" w14:textId="77777777" w:rsidR="003170E9" w:rsidRPr="003170E9" w:rsidRDefault="003170E9" w:rsidP="003170E9">
            <w:pPr>
              <w:spacing w:after="0" w:line="240" w:lineRule="auto"/>
              <w:ind w:left="176"/>
              <w:jc w:val="center"/>
              <w:rPr>
                <w:rFonts w:ascii="Times New Roman" w:eastAsia="Times New Roman" w:hAnsi="Times New Roman" w:cs="Times New Roman"/>
                <w:b/>
                <w:sz w:val="24"/>
                <w:szCs w:val="24"/>
                <w:lang w:eastAsia="uk-UA"/>
              </w:rPr>
            </w:pPr>
            <w:bookmarkStart w:id="5" w:name="_hwckevvgb07n"/>
            <w:bookmarkEnd w:id="5"/>
            <w:r w:rsidRPr="003170E9">
              <w:rPr>
                <w:rFonts w:ascii="Times New Roman" w:eastAsia="Times New Roman" w:hAnsi="Times New Roman" w:cs="Times New Roman"/>
                <w:b/>
                <w:sz w:val="24"/>
                <w:szCs w:val="24"/>
                <w:lang w:eastAsia="uk-UA"/>
              </w:rPr>
              <w:t>Вид технічного обслуговування та перелік операцій, що виконуються</w:t>
            </w:r>
          </w:p>
        </w:tc>
        <w:tc>
          <w:tcPr>
            <w:tcW w:w="2300" w:type="dxa"/>
            <w:tcBorders>
              <w:top w:val="single" w:sz="4" w:space="0" w:color="00000A"/>
              <w:left w:val="single" w:sz="4" w:space="0" w:color="00000A"/>
              <w:bottom w:val="single" w:sz="4" w:space="0" w:color="00000A"/>
              <w:right w:val="single" w:sz="4" w:space="0" w:color="00000A"/>
            </w:tcBorders>
            <w:vAlign w:val="center"/>
          </w:tcPr>
          <w:p w14:paraId="79957DAA" w14:textId="77777777" w:rsidR="003170E9" w:rsidRPr="003170E9" w:rsidRDefault="003170E9" w:rsidP="003170E9">
            <w:pPr>
              <w:spacing w:after="0" w:line="240" w:lineRule="auto"/>
              <w:ind w:left="176"/>
              <w:jc w:val="center"/>
              <w:rPr>
                <w:rFonts w:ascii="Times New Roman" w:eastAsia="Times New Roman" w:hAnsi="Times New Roman" w:cs="Times New Roman"/>
                <w:b/>
                <w:sz w:val="24"/>
                <w:szCs w:val="24"/>
                <w:lang w:eastAsia="uk-UA"/>
              </w:rPr>
            </w:pPr>
            <w:r w:rsidRPr="003170E9">
              <w:rPr>
                <w:rFonts w:ascii="Times New Roman" w:eastAsia="Times New Roman" w:hAnsi="Times New Roman" w:cs="Times New Roman"/>
                <w:b/>
                <w:sz w:val="24"/>
                <w:szCs w:val="24"/>
                <w:lang w:eastAsia="uk-UA"/>
              </w:rPr>
              <w:t>Періодичність проведення</w:t>
            </w:r>
          </w:p>
        </w:tc>
      </w:tr>
      <w:tr w:rsidR="003170E9" w:rsidRPr="003170E9" w14:paraId="45ED56F0" w14:textId="77777777" w:rsidTr="00C80BBD">
        <w:trPr>
          <w:trHeight w:val="456"/>
        </w:trPr>
        <w:tc>
          <w:tcPr>
            <w:tcW w:w="9634" w:type="dxa"/>
            <w:gridSpan w:val="2"/>
            <w:tcBorders>
              <w:top w:val="single" w:sz="4" w:space="0" w:color="00000A"/>
              <w:left w:val="single" w:sz="4" w:space="0" w:color="00000A"/>
              <w:bottom w:val="single" w:sz="4" w:space="0" w:color="00000A"/>
              <w:right w:val="single" w:sz="4" w:space="0" w:color="00000A"/>
            </w:tcBorders>
            <w:vAlign w:val="center"/>
          </w:tcPr>
          <w:p w14:paraId="412F12B4" w14:textId="77777777" w:rsidR="003170E9" w:rsidRPr="003170E9" w:rsidRDefault="003170E9" w:rsidP="003170E9">
            <w:pPr>
              <w:shd w:val="clear" w:color="auto" w:fill="FFFFFF"/>
              <w:spacing w:after="0" w:line="240" w:lineRule="auto"/>
              <w:contextualSpacing/>
              <w:jc w:val="center"/>
              <w:rPr>
                <w:rFonts w:ascii="Times New Roman" w:eastAsia="Times New Roman" w:hAnsi="Times New Roman" w:cs="Times New Roman"/>
                <w:b/>
                <w:sz w:val="24"/>
                <w:szCs w:val="24"/>
                <w:lang w:eastAsia="uk-UA"/>
              </w:rPr>
            </w:pPr>
            <w:r w:rsidRPr="003170E9">
              <w:rPr>
                <w:rFonts w:ascii="Times New Roman" w:eastAsia="Times New Roman" w:hAnsi="Times New Roman" w:cs="Times New Roman"/>
                <w:b/>
                <w:sz w:val="24"/>
                <w:szCs w:val="24"/>
                <w:lang w:eastAsia="uk-UA"/>
              </w:rPr>
              <w:t xml:space="preserve">Технічний (контрольний) огляд та обстеження </w:t>
            </w:r>
          </w:p>
        </w:tc>
      </w:tr>
      <w:tr w:rsidR="003170E9" w:rsidRPr="003170E9" w14:paraId="2B3CD4B9" w14:textId="77777777" w:rsidTr="00C80BBD">
        <w:trPr>
          <w:trHeight w:val="42"/>
        </w:trPr>
        <w:tc>
          <w:tcPr>
            <w:tcW w:w="7334" w:type="dxa"/>
            <w:tcBorders>
              <w:top w:val="single" w:sz="4" w:space="0" w:color="00000A"/>
              <w:left w:val="single" w:sz="4" w:space="0" w:color="00000A"/>
              <w:bottom w:val="single" w:sz="4" w:space="0" w:color="00000A"/>
              <w:right w:val="single" w:sz="4" w:space="0" w:color="00000A"/>
            </w:tcBorders>
            <w:vAlign w:val="center"/>
          </w:tcPr>
          <w:p w14:paraId="3D2CFCF8" w14:textId="77777777" w:rsidR="003170E9" w:rsidRPr="003170E9" w:rsidRDefault="003170E9" w:rsidP="003170E9">
            <w:pPr>
              <w:shd w:val="clear" w:color="auto" w:fill="FFFFFF"/>
              <w:spacing w:after="0" w:line="240" w:lineRule="auto"/>
              <w:ind w:left="176"/>
              <w:contextualSpacing/>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1. Візуальний контроль наявності та цілісності зовнішніх антенних пристроїв, пломб</w:t>
            </w:r>
          </w:p>
        </w:tc>
        <w:tc>
          <w:tcPr>
            <w:tcW w:w="2300" w:type="dxa"/>
            <w:tcBorders>
              <w:top w:val="single" w:sz="4" w:space="0" w:color="00000A"/>
              <w:left w:val="single" w:sz="4" w:space="0" w:color="00000A"/>
              <w:bottom w:val="single" w:sz="4" w:space="0" w:color="00000A"/>
              <w:right w:val="single" w:sz="4" w:space="0" w:color="00000A"/>
            </w:tcBorders>
            <w:vAlign w:val="center"/>
          </w:tcPr>
          <w:p w14:paraId="01F19063" w14:textId="77777777" w:rsidR="003170E9" w:rsidRPr="003170E9" w:rsidRDefault="003170E9" w:rsidP="003170E9">
            <w:pPr>
              <w:shd w:val="clear" w:color="auto" w:fill="FFFFFF"/>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700B7E54" w14:textId="77777777" w:rsidTr="00C80BBD">
        <w:trPr>
          <w:trHeight w:val="42"/>
        </w:trPr>
        <w:tc>
          <w:tcPr>
            <w:tcW w:w="7334" w:type="dxa"/>
            <w:tcBorders>
              <w:top w:val="single" w:sz="4" w:space="0" w:color="00000A"/>
              <w:left w:val="single" w:sz="4" w:space="0" w:color="00000A"/>
              <w:bottom w:val="single" w:sz="4" w:space="0" w:color="00000A"/>
              <w:right w:val="single" w:sz="4" w:space="0" w:color="00000A"/>
            </w:tcBorders>
            <w:vAlign w:val="center"/>
          </w:tcPr>
          <w:p w14:paraId="57B97DDF" w14:textId="77777777" w:rsidR="003170E9" w:rsidRPr="003170E9" w:rsidRDefault="003170E9" w:rsidP="003170E9">
            <w:pPr>
              <w:shd w:val="clear" w:color="auto" w:fill="FFFFFF"/>
              <w:spacing w:after="0" w:line="240" w:lineRule="auto"/>
              <w:ind w:left="176"/>
              <w:contextualSpacing/>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2. Візуальний контроль цілісності сигнальних кабелів, кабелів електроживлення та заземлення</w:t>
            </w:r>
          </w:p>
        </w:tc>
        <w:tc>
          <w:tcPr>
            <w:tcW w:w="2300" w:type="dxa"/>
            <w:tcBorders>
              <w:top w:val="single" w:sz="4" w:space="0" w:color="00000A"/>
              <w:left w:val="single" w:sz="4" w:space="0" w:color="00000A"/>
              <w:bottom w:val="single" w:sz="4" w:space="0" w:color="00000A"/>
              <w:right w:val="single" w:sz="4" w:space="0" w:color="00000A"/>
            </w:tcBorders>
            <w:vAlign w:val="center"/>
          </w:tcPr>
          <w:p w14:paraId="021EBB7E" w14:textId="77777777" w:rsidR="003170E9" w:rsidRPr="003170E9" w:rsidRDefault="003170E9" w:rsidP="003170E9">
            <w:pPr>
              <w:shd w:val="clear" w:color="auto" w:fill="FFFFFF"/>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33880CC4" w14:textId="77777777" w:rsidTr="00C80BBD">
        <w:trPr>
          <w:trHeight w:val="507"/>
        </w:trPr>
        <w:tc>
          <w:tcPr>
            <w:tcW w:w="9634" w:type="dxa"/>
            <w:gridSpan w:val="2"/>
            <w:tcBorders>
              <w:top w:val="single" w:sz="4" w:space="0" w:color="00000A"/>
              <w:left w:val="single" w:sz="4" w:space="0" w:color="00000A"/>
              <w:bottom w:val="single" w:sz="4" w:space="0" w:color="00000A"/>
              <w:right w:val="single" w:sz="4" w:space="0" w:color="00000A"/>
            </w:tcBorders>
            <w:vAlign w:val="center"/>
          </w:tcPr>
          <w:p w14:paraId="03FA4725" w14:textId="77777777" w:rsidR="003170E9" w:rsidRPr="003170E9" w:rsidRDefault="003170E9" w:rsidP="003170E9">
            <w:pPr>
              <w:shd w:val="clear" w:color="auto" w:fill="FFFFFF"/>
              <w:spacing w:after="0" w:line="240" w:lineRule="auto"/>
              <w:contextualSpacing/>
              <w:jc w:val="center"/>
              <w:rPr>
                <w:rFonts w:ascii="Times New Roman" w:eastAsia="Times New Roman" w:hAnsi="Times New Roman" w:cs="Times New Roman"/>
                <w:b/>
                <w:sz w:val="24"/>
                <w:szCs w:val="24"/>
                <w:lang w:eastAsia="uk-UA"/>
              </w:rPr>
            </w:pPr>
            <w:r w:rsidRPr="003170E9">
              <w:rPr>
                <w:rFonts w:ascii="Times New Roman" w:eastAsia="Times New Roman" w:hAnsi="Times New Roman" w:cs="Times New Roman"/>
                <w:b/>
                <w:sz w:val="24"/>
                <w:szCs w:val="24"/>
                <w:lang w:eastAsia="uk-UA"/>
              </w:rPr>
              <w:t xml:space="preserve">Технічне обслуговування </w:t>
            </w:r>
          </w:p>
        </w:tc>
      </w:tr>
      <w:tr w:rsidR="003170E9" w:rsidRPr="003170E9" w14:paraId="4D99ECE5" w14:textId="77777777" w:rsidTr="00C80BBD">
        <w:tc>
          <w:tcPr>
            <w:tcW w:w="7334" w:type="dxa"/>
            <w:tcBorders>
              <w:top w:val="single" w:sz="4" w:space="0" w:color="00000A"/>
              <w:left w:val="single" w:sz="4" w:space="0" w:color="00000A"/>
              <w:bottom w:val="single" w:sz="4" w:space="0" w:color="00000A"/>
              <w:right w:val="single" w:sz="4" w:space="0" w:color="00000A"/>
            </w:tcBorders>
            <w:vAlign w:val="center"/>
          </w:tcPr>
          <w:p w14:paraId="055E8922" w14:textId="77777777" w:rsidR="003170E9" w:rsidRPr="003170E9" w:rsidRDefault="003170E9" w:rsidP="003170E9">
            <w:pPr>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 xml:space="preserve">1. Детальний огляд та чистка блоків всієї апаратури без розтину блоків, захисних боксів, конструкцій, кріплень, перемикачів, роз'ємів і </w:t>
            </w:r>
            <w:proofErr w:type="spellStart"/>
            <w:r w:rsidRPr="003170E9">
              <w:rPr>
                <w:rFonts w:ascii="Times New Roman" w:eastAsia="Calibri" w:hAnsi="Times New Roman" w:cs="Times New Roman"/>
                <w:sz w:val="24"/>
                <w:szCs w:val="24"/>
                <w:lang w:eastAsia="ru-RU"/>
              </w:rPr>
              <w:t>т.п</w:t>
            </w:r>
            <w:proofErr w:type="spellEnd"/>
            <w:r w:rsidRPr="003170E9">
              <w:rPr>
                <w:rFonts w:ascii="Times New Roman" w:eastAsia="Calibri" w:hAnsi="Times New Roman" w:cs="Times New Roman"/>
                <w:sz w:val="24"/>
                <w:szCs w:val="24"/>
                <w:lang w:eastAsia="ru-RU"/>
              </w:rPr>
              <w:t>., видалення пилу та забруднення внаслідок природних факторів та зносу</w:t>
            </w:r>
          </w:p>
        </w:tc>
        <w:tc>
          <w:tcPr>
            <w:tcW w:w="2300" w:type="dxa"/>
            <w:tcBorders>
              <w:top w:val="single" w:sz="4" w:space="0" w:color="00000A"/>
              <w:left w:val="single" w:sz="4" w:space="0" w:color="00000A"/>
              <w:bottom w:val="single" w:sz="4" w:space="0" w:color="00000A"/>
              <w:right w:val="single" w:sz="4" w:space="0" w:color="00000A"/>
            </w:tcBorders>
            <w:vAlign w:val="center"/>
          </w:tcPr>
          <w:p w14:paraId="16BF8D3C"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6C567610" w14:textId="77777777" w:rsidTr="00C80BBD">
        <w:trPr>
          <w:trHeight w:val="929"/>
        </w:trPr>
        <w:tc>
          <w:tcPr>
            <w:tcW w:w="7334" w:type="dxa"/>
            <w:tcBorders>
              <w:top w:val="single" w:sz="4" w:space="0" w:color="00000A"/>
              <w:left w:val="single" w:sz="4" w:space="0" w:color="00000A"/>
              <w:bottom w:val="single" w:sz="4" w:space="0" w:color="00000A"/>
              <w:right w:val="single" w:sz="4" w:space="0" w:color="00000A"/>
            </w:tcBorders>
            <w:vAlign w:val="center"/>
          </w:tcPr>
          <w:p w14:paraId="2521EC94" w14:textId="77777777" w:rsidR="003170E9" w:rsidRPr="003170E9" w:rsidRDefault="003170E9" w:rsidP="003170E9">
            <w:pPr>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p>
        </w:tc>
        <w:tc>
          <w:tcPr>
            <w:tcW w:w="2300" w:type="dxa"/>
            <w:tcBorders>
              <w:top w:val="single" w:sz="4" w:space="0" w:color="00000A"/>
              <w:left w:val="single" w:sz="4" w:space="0" w:color="00000A"/>
              <w:bottom w:val="single" w:sz="4" w:space="0" w:color="00000A"/>
              <w:right w:val="single" w:sz="4" w:space="0" w:color="00000A"/>
            </w:tcBorders>
            <w:vAlign w:val="center"/>
          </w:tcPr>
          <w:p w14:paraId="217DA603"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206DCE3B" w14:textId="77777777" w:rsidTr="00C80BBD">
        <w:trPr>
          <w:trHeight w:val="558"/>
        </w:trPr>
        <w:tc>
          <w:tcPr>
            <w:tcW w:w="7334" w:type="dxa"/>
            <w:tcBorders>
              <w:top w:val="single" w:sz="4" w:space="0" w:color="00000A"/>
              <w:left w:val="single" w:sz="4" w:space="0" w:color="00000A"/>
              <w:bottom w:val="single" w:sz="4" w:space="0" w:color="00000A"/>
              <w:right w:val="single" w:sz="4" w:space="0" w:color="00000A"/>
            </w:tcBorders>
            <w:vAlign w:val="center"/>
          </w:tcPr>
          <w:p w14:paraId="4BFC2DC3" w14:textId="77777777" w:rsidR="003170E9" w:rsidRPr="003170E9" w:rsidRDefault="003170E9" w:rsidP="003170E9">
            <w:pPr>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2300" w:type="dxa"/>
            <w:tcBorders>
              <w:top w:val="single" w:sz="4" w:space="0" w:color="00000A"/>
              <w:left w:val="single" w:sz="4" w:space="0" w:color="00000A"/>
              <w:bottom w:val="single" w:sz="4" w:space="0" w:color="00000A"/>
              <w:right w:val="single" w:sz="4" w:space="0" w:color="00000A"/>
            </w:tcBorders>
            <w:vAlign w:val="center"/>
          </w:tcPr>
          <w:p w14:paraId="247465B0"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452FEC3C" w14:textId="77777777" w:rsidTr="00C80BBD">
        <w:trPr>
          <w:trHeight w:val="538"/>
        </w:trPr>
        <w:tc>
          <w:tcPr>
            <w:tcW w:w="7334" w:type="dxa"/>
            <w:tcBorders>
              <w:top w:val="single" w:sz="4" w:space="0" w:color="00000A"/>
              <w:left w:val="single" w:sz="4" w:space="0" w:color="00000A"/>
              <w:bottom w:val="single" w:sz="4" w:space="0" w:color="00000A"/>
              <w:right w:val="single" w:sz="4" w:space="0" w:color="00000A"/>
            </w:tcBorders>
            <w:vAlign w:val="center"/>
          </w:tcPr>
          <w:p w14:paraId="2F8D773D" w14:textId="77777777" w:rsidR="003170E9" w:rsidRPr="003170E9" w:rsidRDefault="003170E9" w:rsidP="003170E9">
            <w:pPr>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4. Перевірка справності, надійності та відповідності заземлення та елементів грозозахисту до вимог технічної документації з вимірюванням</w:t>
            </w:r>
          </w:p>
        </w:tc>
        <w:tc>
          <w:tcPr>
            <w:tcW w:w="2300" w:type="dxa"/>
            <w:tcBorders>
              <w:top w:val="single" w:sz="4" w:space="0" w:color="00000A"/>
              <w:left w:val="single" w:sz="4" w:space="0" w:color="00000A"/>
              <w:bottom w:val="single" w:sz="4" w:space="0" w:color="00000A"/>
              <w:right w:val="single" w:sz="4" w:space="0" w:color="00000A"/>
            </w:tcBorders>
            <w:vAlign w:val="center"/>
          </w:tcPr>
          <w:p w14:paraId="612435C7"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04D1AAD6" w14:textId="77777777" w:rsidTr="00C80BBD">
        <w:trPr>
          <w:trHeight w:val="134"/>
        </w:trPr>
        <w:tc>
          <w:tcPr>
            <w:tcW w:w="7334" w:type="dxa"/>
            <w:tcBorders>
              <w:top w:val="single" w:sz="4" w:space="0" w:color="00000A"/>
              <w:left w:val="single" w:sz="4" w:space="0" w:color="00000A"/>
              <w:bottom w:val="single" w:sz="4" w:space="0" w:color="00000A"/>
              <w:right w:val="single" w:sz="4" w:space="0" w:color="00000A"/>
            </w:tcBorders>
            <w:vAlign w:val="center"/>
          </w:tcPr>
          <w:p w14:paraId="5A868493" w14:textId="77777777" w:rsidR="003170E9" w:rsidRPr="003170E9" w:rsidRDefault="003170E9" w:rsidP="003170E9">
            <w:pPr>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5. Контрольний заряд-розряд батарейних комплектів</w:t>
            </w:r>
          </w:p>
        </w:tc>
        <w:tc>
          <w:tcPr>
            <w:tcW w:w="2300" w:type="dxa"/>
            <w:tcBorders>
              <w:top w:val="single" w:sz="4" w:space="0" w:color="00000A"/>
              <w:left w:val="single" w:sz="4" w:space="0" w:color="00000A"/>
              <w:bottom w:val="single" w:sz="4" w:space="0" w:color="00000A"/>
              <w:right w:val="single" w:sz="4" w:space="0" w:color="00000A"/>
            </w:tcBorders>
            <w:vAlign w:val="center"/>
          </w:tcPr>
          <w:p w14:paraId="7598DFE1"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63DDCEDC" w14:textId="77777777" w:rsidTr="00C80BBD">
        <w:trPr>
          <w:trHeight w:val="112"/>
        </w:trPr>
        <w:tc>
          <w:tcPr>
            <w:tcW w:w="7334" w:type="dxa"/>
            <w:tcBorders>
              <w:top w:val="single" w:sz="4" w:space="0" w:color="00000A"/>
              <w:left w:val="single" w:sz="4" w:space="0" w:color="00000A"/>
              <w:bottom w:val="single" w:sz="4" w:space="0" w:color="00000A"/>
              <w:right w:val="single" w:sz="4" w:space="0" w:color="00000A"/>
            </w:tcBorders>
            <w:vAlign w:val="center"/>
          </w:tcPr>
          <w:p w14:paraId="7A937D06" w14:textId="77777777" w:rsidR="003170E9" w:rsidRPr="003170E9" w:rsidRDefault="003170E9" w:rsidP="003170E9">
            <w:pPr>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lastRenderedPageBreak/>
              <w:t>6. Перевірка стану джерел живлення електроенергією,   дистанційного управління та сигналізації</w:t>
            </w:r>
          </w:p>
        </w:tc>
        <w:tc>
          <w:tcPr>
            <w:tcW w:w="2300" w:type="dxa"/>
            <w:tcBorders>
              <w:top w:val="single" w:sz="4" w:space="0" w:color="00000A"/>
              <w:left w:val="single" w:sz="4" w:space="0" w:color="00000A"/>
              <w:bottom w:val="single" w:sz="4" w:space="0" w:color="00000A"/>
              <w:right w:val="single" w:sz="4" w:space="0" w:color="00000A"/>
            </w:tcBorders>
            <w:vAlign w:val="center"/>
          </w:tcPr>
          <w:p w14:paraId="0730529C"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5F9258FA" w14:textId="77777777" w:rsidTr="00C80BBD">
        <w:trPr>
          <w:trHeight w:val="112"/>
        </w:trPr>
        <w:tc>
          <w:tcPr>
            <w:tcW w:w="7334" w:type="dxa"/>
            <w:tcBorders>
              <w:top w:val="single" w:sz="4" w:space="0" w:color="00000A"/>
              <w:left w:val="single" w:sz="4" w:space="0" w:color="00000A"/>
              <w:bottom w:val="single" w:sz="4" w:space="0" w:color="00000A"/>
              <w:right w:val="single" w:sz="4" w:space="0" w:color="00000A"/>
            </w:tcBorders>
          </w:tcPr>
          <w:p w14:paraId="4F55C3DC" w14:textId="77777777" w:rsidR="003170E9" w:rsidRPr="003170E9" w:rsidRDefault="003170E9" w:rsidP="003170E9">
            <w:pPr>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7. Чистка  оптичних елементів та інфрачервоних прожекторів комплексу</w:t>
            </w:r>
          </w:p>
        </w:tc>
        <w:tc>
          <w:tcPr>
            <w:tcW w:w="2300" w:type="dxa"/>
            <w:tcBorders>
              <w:top w:val="single" w:sz="4" w:space="0" w:color="00000A"/>
              <w:left w:val="single" w:sz="4" w:space="0" w:color="00000A"/>
              <w:bottom w:val="single" w:sz="4" w:space="0" w:color="00000A"/>
              <w:right w:val="single" w:sz="4" w:space="0" w:color="00000A"/>
            </w:tcBorders>
            <w:vAlign w:val="center"/>
          </w:tcPr>
          <w:p w14:paraId="2847A504"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4E317A72" w14:textId="77777777" w:rsidTr="00C80BBD">
        <w:trPr>
          <w:trHeight w:val="112"/>
        </w:trPr>
        <w:tc>
          <w:tcPr>
            <w:tcW w:w="7334" w:type="dxa"/>
            <w:tcBorders>
              <w:top w:val="single" w:sz="4" w:space="0" w:color="00000A"/>
              <w:left w:val="single" w:sz="4" w:space="0" w:color="00000A"/>
              <w:bottom w:val="single" w:sz="4" w:space="0" w:color="00000A"/>
              <w:right w:val="single" w:sz="4" w:space="0" w:color="00000A"/>
            </w:tcBorders>
          </w:tcPr>
          <w:p w14:paraId="0C6C5673" w14:textId="77777777" w:rsidR="003170E9" w:rsidRPr="003170E9" w:rsidRDefault="003170E9" w:rsidP="003170E9">
            <w:pPr>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з методикою</w:t>
            </w:r>
          </w:p>
        </w:tc>
        <w:tc>
          <w:tcPr>
            <w:tcW w:w="2300" w:type="dxa"/>
            <w:tcBorders>
              <w:top w:val="single" w:sz="4" w:space="0" w:color="00000A"/>
              <w:left w:val="single" w:sz="4" w:space="0" w:color="00000A"/>
              <w:bottom w:val="single" w:sz="4" w:space="0" w:color="00000A"/>
              <w:right w:val="single" w:sz="4" w:space="0" w:color="00000A"/>
            </w:tcBorders>
            <w:vAlign w:val="center"/>
          </w:tcPr>
          <w:p w14:paraId="333D3546"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38556C3F" w14:textId="77777777" w:rsidTr="00C80BBD">
        <w:trPr>
          <w:trHeight w:val="112"/>
        </w:trPr>
        <w:tc>
          <w:tcPr>
            <w:tcW w:w="7334" w:type="dxa"/>
            <w:tcBorders>
              <w:top w:val="single" w:sz="4" w:space="0" w:color="00000A"/>
              <w:left w:val="single" w:sz="4" w:space="0" w:color="00000A"/>
              <w:bottom w:val="single" w:sz="4" w:space="0" w:color="00000A"/>
              <w:right w:val="single" w:sz="4" w:space="0" w:color="00000A"/>
            </w:tcBorders>
          </w:tcPr>
          <w:p w14:paraId="5B335435" w14:textId="77777777" w:rsidR="003170E9" w:rsidRPr="003170E9" w:rsidRDefault="003170E9" w:rsidP="003170E9">
            <w:pPr>
              <w:shd w:val="clear" w:color="auto" w:fill="FFFFFF"/>
              <w:tabs>
                <w:tab w:val="left" w:pos="459"/>
              </w:tabs>
              <w:spacing w:after="0" w:line="240" w:lineRule="auto"/>
              <w:ind w:left="176"/>
              <w:contextualSpacing/>
              <w:jc w:val="both"/>
              <w:rPr>
                <w:rFonts w:ascii="Times New Roman" w:eastAsia="Calibri" w:hAnsi="Times New Roman" w:cs="Times New Roman"/>
                <w:b/>
                <w:sz w:val="24"/>
                <w:szCs w:val="24"/>
                <w:lang w:eastAsia="ru-RU"/>
              </w:rPr>
            </w:pPr>
            <w:r w:rsidRPr="003170E9">
              <w:rPr>
                <w:rFonts w:ascii="Times New Roman" w:eastAsia="Calibri" w:hAnsi="Times New Roman" w:cs="Times New Roman"/>
                <w:sz w:val="24"/>
                <w:szCs w:val="24"/>
                <w:lang w:eastAsia="ru-RU"/>
              </w:rPr>
              <w:t>9. Заміни елементів та вузлів комплексу, герметичних прокладок та інших матеріалів, що мають обмежений термін служби. Повернення з метою контролю зламаних, зношених та/або морально застарілих складових комплексу</w:t>
            </w:r>
          </w:p>
        </w:tc>
        <w:tc>
          <w:tcPr>
            <w:tcW w:w="2300" w:type="dxa"/>
            <w:tcBorders>
              <w:top w:val="single" w:sz="4" w:space="0" w:color="00000A"/>
              <w:left w:val="single" w:sz="4" w:space="0" w:color="00000A"/>
              <w:bottom w:val="single" w:sz="4" w:space="0" w:color="00000A"/>
              <w:right w:val="single" w:sz="4" w:space="0" w:color="00000A"/>
            </w:tcBorders>
            <w:vAlign w:val="center"/>
          </w:tcPr>
          <w:p w14:paraId="5B326B90"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bookmarkStart w:id="6" w:name="__DdeLink__3409_1807735482"/>
            <w:r w:rsidRPr="003170E9">
              <w:rPr>
                <w:rFonts w:ascii="Times New Roman" w:eastAsia="Times New Roman" w:hAnsi="Times New Roman" w:cs="Times New Roman"/>
                <w:sz w:val="24"/>
                <w:szCs w:val="24"/>
                <w:lang w:eastAsia="uk-UA"/>
              </w:rPr>
              <w:t>При потребі</w:t>
            </w:r>
            <w:bookmarkEnd w:id="6"/>
          </w:p>
        </w:tc>
      </w:tr>
      <w:tr w:rsidR="003170E9" w:rsidRPr="003170E9" w14:paraId="57F93982" w14:textId="77777777" w:rsidTr="00C80BBD">
        <w:trPr>
          <w:trHeight w:val="112"/>
        </w:trPr>
        <w:tc>
          <w:tcPr>
            <w:tcW w:w="7334" w:type="dxa"/>
            <w:tcBorders>
              <w:top w:val="single" w:sz="4" w:space="0" w:color="00000A"/>
              <w:left w:val="single" w:sz="4" w:space="0" w:color="00000A"/>
              <w:bottom w:val="single" w:sz="4" w:space="0" w:color="00000A"/>
              <w:right w:val="single" w:sz="4" w:space="0" w:color="00000A"/>
            </w:tcBorders>
            <w:vAlign w:val="center"/>
          </w:tcPr>
          <w:p w14:paraId="40268D2B" w14:textId="77777777" w:rsidR="003170E9" w:rsidRPr="003170E9" w:rsidRDefault="003170E9" w:rsidP="003170E9">
            <w:pPr>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10. Заключне вимірювання параметрів і характеристик апаратури і доведення їх, при необхідності, до встановлених норм</w:t>
            </w:r>
          </w:p>
        </w:tc>
        <w:tc>
          <w:tcPr>
            <w:tcW w:w="2300" w:type="dxa"/>
            <w:tcBorders>
              <w:top w:val="single" w:sz="4" w:space="0" w:color="00000A"/>
              <w:left w:val="single" w:sz="4" w:space="0" w:color="00000A"/>
              <w:bottom w:val="single" w:sz="4" w:space="0" w:color="00000A"/>
              <w:right w:val="single" w:sz="4" w:space="0" w:color="00000A"/>
            </w:tcBorders>
            <w:vAlign w:val="center"/>
          </w:tcPr>
          <w:p w14:paraId="2202941F"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2ABDC128" w14:textId="77777777" w:rsidTr="00C80BBD">
        <w:trPr>
          <w:trHeight w:val="78"/>
        </w:trPr>
        <w:tc>
          <w:tcPr>
            <w:tcW w:w="7334" w:type="dxa"/>
            <w:tcBorders>
              <w:top w:val="single" w:sz="4" w:space="0" w:color="00000A"/>
              <w:left w:val="single" w:sz="4" w:space="0" w:color="00000A"/>
              <w:bottom w:val="single" w:sz="4" w:space="0" w:color="00000A"/>
              <w:right w:val="single" w:sz="4" w:space="0" w:color="00000A"/>
            </w:tcBorders>
            <w:vAlign w:val="center"/>
          </w:tcPr>
          <w:p w14:paraId="0F201EAD" w14:textId="77777777" w:rsidR="003170E9" w:rsidRPr="003170E9" w:rsidRDefault="003170E9" w:rsidP="003170E9">
            <w:pPr>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11. Аналіз відповідності поточного навантаження апаратному забезпеченню, що використовується, тестування продуктивності окремих операцій</w:t>
            </w:r>
          </w:p>
        </w:tc>
        <w:tc>
          <w:tcPr>
            <w:tcW w:w="2300" w:type="dxa"/>
            <w:tcBorders>
              <w:top w:val="single" w:sz="4" w:space="0" w:color="00000A"/>
              <w:left w:val="single" w:sz="4" w:space="0" w:color="00000A"/>
              <w:bottom w:val="single" w:sz="4" w:space="0" w:color="00000A"/>
              <w:right w:val="single" w:sz="4" w:space="0" w:color="00000A"/>
            </w:tcBorders>
            <w:vAlign w:val="center"/>
          </w:tcPr>
          <w:p w14:paraId="5E457C48"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53D1A203" w14:textId="77777777" w:rsidTr="00C80BBD">
        <w:trPr>
          <w:trHeight w:val="116"/>
        </w:trPr>
        <w:tc>
          <w:tcPr>
            <w:tcW w:w="7334" w:type="dxa"/>
            <w:tcBorders>
              <w:top w:val="single" w:sz="4" w:space="0" w:color="00000A"/>
              <w:left w:val="single" w:sz="4" w:space="0" w:color="00000A"/>
              <w:bottom w:val="single" w:sz="4" w:space="0" w:color="00000A"/>
              <w:right w:val="single" w:sz="4" w:space="0" w:color="00000A"/>
            </w:tcBorders>
          </w:tcPr>
          <w:p w14:paraId="4CA7DDB1" w14:textId="77777777" w:rsidR="003170E9" w:rsidRPr="003170E9" w:rsidRDefault="003170E9" w:rsidP="003170E9">
            <w:pPr>
              <w:tabs>
                <w:tab w:val="left" w:pos="459"/>
              </w:tabs>
              <w:spacing w:after="0" w:line="240" w:lineRule="auto"/>
              <w:ind w:left="176"/>
              <w:jc w:val="both"/>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12. Встановлення критичних оновлень та/або профілактика системного програмного забезпечення, перевірка реєстрів, журналів</w:t>
            </w:r>
          </w:p>
        </w:tc>
        <w:tc>
          <w:tcPr>
            <w:tcW w:w="2300" w:type="dxa"/>
            <w:tcBorders>
              <w:top w:val="single" w:sz="4" w:space="0" w:color="00000A"/>
              <w:left w:val="single" w:sz="4" w:space="0" w:color="00000A"/>
              <w:bottom w:val="single" w:sz="4" w:space="0" w:color="00000A"/>
              <w:right w:val="single" w:sz="4" w:space="0" w:color="00000A"/>
            </w:tcBorders>
            <w:vAlign w:val="center"/>
          </w:tcPr>
          <w:p w14:paraId="5EF0B80D"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34634B85" w14:textId="77777777" w:rsidTr="00C80BBD">
        <w:trPr>
          <w:trHeight w:val="772"/>
        </w:trPr>
        <w:tc>
          <w:tcPr>
            <w:tcW w:w="7334" w:type="dxa"/>
            <w:tcBorders>
              <w:top w:val="single" w:sz="4" w:space="0" w:color="00000A"/>
              <w:left w:val="single" w:sz="4" w:space="0" w:color="00000A"/>
              <w:bottom w:val="single" w:sz="4" w:space="0" w:color="00000A"/>
              <w:right w:val="single" w:sz="4" w:space="0" w:color="00000A"/>
            </w:tcBorders>
          </w:tcPr>
          <w:p w14:paraId="2C413E62" w14:textId="77777777" w:rsidR="003170E9" w:rsidRPr="003170E9" w:rsidRDefault="003170E9" w:rsidP="003170E9">
            <w:pPr>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lang w:eastAsia="ru-RU"/>
              </w:rPr>
              <w:t>13. Тестування відновлення працездатності під час збоїв окремих компонентів програмного забезпечення без втрати даних</w:t>
            </w:r>
          </w:p>
        </w:tc>
        <w:tc>
          <w:tcPr>
            <w:tcW w:w="2300" w:type="dxa"/>
            <w:tcBorders>
              <w:top w:val="single" w:sz="4" w:space="0" w:color="00000A"/>
              <w:left w:val="single" w:sz="4" w:space="0" w:color="00000A"/>
              <w:bottom w:val="single" w:sz="4" w:space="0" w:color="00000A"/>
              <w:right w:val="single" w:sz="4" w:space="0" w:color="00000A"/>
            </w:tcBorders>
            <w:vAlign w:val="center"/>
          </w:tcPr>
          <w:p w14:paraId="5E0301A7"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highlight w:val="green"/>
                <w:lang w:eastAsia="uk-UA"/>
              </w:rPr>
            </w:pPr>
            <w:r w:rsidRPr="003170E9">
              <w:rPr>
                <w:rFonts w:ascii="Times New Roman" w:eastAsia="Times New Roman" w:hAnsi="Times New Roman" w:cs="Times New Roman"/>
                <w:sz w:val="24"/>
                <w:szCs w:val="24"/>
                <w:lang w:eastAsia="uk-UA"/>
              </w:rPr>
              <w:t>При потребі</w:t>
            </w:r>
          </w:p>
        </w:tc>
      </w:tr>
      <w:tr w:rsidR="003170E9" w:rsidRPr="003170E9" w14:paraId="170F950F" w14:textId="77777777" w:rsidTr="00C80BBD">
        <w:trPr>
          <w:trHeight w:val="358"/>
        </w:trPr>
        <w:tc>
          <w:tcPr>
            <w:tcW w:w="7334" w:type="dxa"/>
            <w:tcBorders>
              <w:top w:val="single" w:sz="4" w:space="0" w:color="00000A"/>
              <w:left w:val="single" w:sz="4" w:space="0" w:color="00000A"/>
              <w:bottom w:val="single" w:sz="4" w:space="0" w:color="00000A"/>
              <w:right w:val="single" w:sz="4" w:space="0" w:color="00000A"/>
            </w:tcBorders>
            <w:vAlign w:val="center"/>
          </w:tcPr>
          <w:p w14:paraId="6054FDB6" w14:textId="77777777" w:rsidR="003170E9" w:rsidRPr="003170E9" w:rsidRDefault="003170E9" w:rsidP="003170E9">
            <w:pPr>
              <w:shd w:val="clear" w:color="auto" w:fill="FFFFFF"/>
              <w:tabs>
                <w:tab w:val="left" w:pos="459"/>
              </w:tabs>
              <w:spacing w:after="0" w:line="240" w:lineRule="auto"/>
              <w:ind w:left="176"/>
              <w:jc w:val="both"/>
              <w:rPr>
                <w:rFonts w:ascii="Times New Roman" w:eastAsia="Times New Roman" w:hAnsi="Times New Roman" w:cs="Times New Roman"/>
                <w:sz w:val="24"/>
                <w:szCs w:val="24"/>
                <w:lang w:val="ru-RU" w:eastAsia="uk-UA"/>
              </w:rPr>
            </w:pPr>
            <w:r w:rsidRPr="003170E9">
              <w:rPr>
                <w:rFonts w:ascii="Times New Roman" w:eastAsia="Times New Roman" w:hAnsi="Times New Roman" w:cs="Times New Roman"/>
                <w:sz w:val="24"/>
                <w:szCs w:val="24"/>
                <w:lang w:eastAsia="uk-UA"/>
              </w:rPr>
              <w:t>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p>
        </w:tc>
        <w:tc>
          <w:tcPr>
            <w:tcW w:w="2300" w:type="dxa"/>
            <w:tcBorders>
              <w:top w:val="single" w:sz="4" w:space="0" w:color="00000A"/>
              <w:left w:val="single" w:sz="4" w:space="0" w:color="00000A"/>
              <w:bottom w:val="single" w:sz="4" w:space="0" w:color="00000A"/>
              <w:right w:val="single" w:sz="4" w:space="0" w:color="00000A"/>
            </w:tcBorders>
            <w:vAlign w:val="center"/>
          </w:tcPr>
          <w:p w14:paraId="37962B80"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 та при потребі Замовника</w:t>
            </w:r>
          </w:p>
        </w:tc>
      </w:tr>
      <w:tr w:rsidR="003170E9" w:rsidRPr="003170E9" w14:paraId="603006D3" w14:textId="77777777" w:rsidTr="00C80BBD">
        <w:trPr>
          <w:trHeight w:val="396"/>
        </w:trPr>
        <w:tc>
          <w:tcPr>
            <w:tcW w:w="7334" w:type="dxa"/>
            <w:tcBorders>
              <w:top w:val="single" w:sz="4" w:space="0" w:color="00000A"/>
              <w:left w:val="single" w:sz="4" w:space="0" w:color="00000A"/>
              <w:bottom w:val="single" w:sz="4" w:space="0" w:color="00000A"/>
              <w:right w:val="single" w:sz="4" w:space="0" w:color="00000A"/>
            </w:tcBorders>
            <w:vAlign w:val="center"/>
          </w:tcPr>
          <w:p w14:paraId="4BD625D5" w14:textId="77777777" w:rsidR="003170E9" w:rsidRPr="003170E9" w:rsidRDefault="003170E9" w:rsidP="003170E9">
            <w:pPr>
              <w:shd w:val="clear" w:color="auto" w:fill="FFFFFF"/>
              <w:tabs>
                <w:tab w:val="left" w:pos="459"/>
              </w:tabs>
              <w:spacing w:after="0" w:line="240" w:lineRule="auto"/>
              <w:ind w:left="176"/>
              <w:jc w:val="both"/>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15. Ведення експлуатаційної документації та перевірка правильності ведення</w:t>
            </w:r>
          </w:p>
        </w:tc>
        <w:tc>
          <w:tcPr>
            <w:tcW w:w="2300" w:type="dxa"/>
            <w:tcBorders>
              <w:top w:val="single" w:sz="4" w:space="0" w:color="00000A"/>
              <w:left w:val="single" w:sz="4" w:space="0" w:color="00000A"/>
              <w:bottom w:val="single" w:sz="4" w:space="0" w:color="00000A"/>
              <w:right w:val="single" w:sz="4" w:space="0" w:color="00000A"/>
            </w:tcBorders>
            <w:vAlign w:val="center"/>
          </w:tcPr>
          <w:p w14:paraId="71763DDC"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Щомісяця</w:t>
            </w:r>
          </w:p>
        </w:tc>
      </w:tr>
      <w:tr w:rsidR="003170E9" w:rsidRPr="003170E9" w14:paraId="18BCEA0F" w14:textId="77777777" w:rsidTr="00C80BBD">
        <w:trPr>
          <w:trHeight w:val="396"/>
        </w:trPr>
        <w:tc>
          <w:tcPr>
            <w:tcW w:w="7334" w:type="dxa"/>
            <w:tcBorders>
              <w:top w:val="single" w:sz="4" w:space="0" w:color="00000A"/>
              <w:left w:val="single" w:sz="4" w:space="0" w:color="00000A"/>
              <w:bottom w:val="single" w:sz="4" w:space="0" w:color="00000A"/>
              <w:right w:val="single" w:sz="4" w:space="0" w:color="00000A"/>
            </w:tcBorders>
            <w:vAlign w:val="center"/>
          </w:tcPr>
          <w:p w14:paraId="2D82A7B1" w14:textId="77777777" w:rsidR="003170E9" w:rsidRPr="003170E9" w:rsidRDefault="003170E9" w:rsidP="003170E9">
            <w:pPr>
              <w:shd w:val="clear" w:color="auto" w:fill="FFFFFF"/>
              <w:tabs>
                <w:tab w:val="left" w:pos="459"/>
              </w:tabs>
              <w:spacing w:after="0" w:line="240" w:lineRule="auto"/>
              <w:ind w:left="176"/>
              <w:jc w:val="both"/>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 xml:space="preserve">16. </w:t>
            </w:r>
            <w:r w:rsidRPr="003170E9">
              <w:rPr>
                <w:rFonts w:ascii="Times New Roman" w:eastAsia="Calibri" w:hAnsi="Times New Roman" w:cs="Times New Roman"/>
                <w:sz w:val="24"/>
                <w:szCs w:val="24"/>
                <w:lang w:eastAsia="ru-RU"/>
              </w:rPr>
              <w:t xml:space="preserve">Очищення від забруднення зовнішніх елементів інфрачервоного прожектора, елементів радару, мийка корпусу та скла </w:t>
            </w:r>
            <w:proofErr w:type="spellStart"/>
            <w:r w:rsidRPr="003170E9">
              <w:rPr>
                <w:rFonts w:ascii="Times New Roman" w:eastAsia="Calibri" w:hAnsi="Times New Roman" w:cs="Times New Roman"/>
                <w:sz w:val="24"/>
                <w:szCs w:val="24"/>
                <w:lang w:eastAsia="ru-RU"/>
              </w:rPr>
              <w:t>відеодатчика</w:t>
            </w:r>
            <w:proofErr w:type="spellEnd"/>
            <w:r w:rsidRPr="003170E9">
              <w:rPr>
                <w:rFonts w:ascii="Times New Roman" w:eastAsia="Calibri" w:hAnsi="Times New Roman" w:cs="Times New Roman"/>
                <w:sz w:val="24"/>
                <w:szCs w:val="24"/>
                <w:lang w:eastAsia="ru-RU"/>
              </w:rPr>
              <w:t xml:space="preserve">. Очищення від снігу та бруду внутрішньої поверхні захисних бленд </w:t>
            </w:r>
            <w:proofErr w:type="spellStart"/>
            <w:r w:rsidRPr="003170E9">
              <w:rPr>
                <w:rFonts w:ascii="Times New Roman" w:eastAsia="Calibri" w:hAnsi="Times New Roman" w:cs="Times New Roman"/>
                <w:sz w:val="24"/>
                <w:szCs w:val="24"/>
                <w:lang w:eastAsia="ru-RU"/>
              </w:rPr>
              <w:t>відеодатчика</w:t>
            </w:r>
            <w:proofErr w:type="spellEnd"/>
          </w:p>
        </w:tc>
        <w:tc>
          <w:tcPr>
            <w:tcW w:w="2300" w:type="dxa"/>
            <w:tcBorders>
              <w:top w:val="single" w:sz="4" w:space="0" w:color="00000A"/>
              <w:left w:val="single" w:sz="4" w:space="0" w:color="00000A"/>
              <w:bottom w:val="single" w:sz="4" w:space="0" w:color="00000A"/>
              <w:right w:val="single" w:sz="4" w:space="0" w:color="00000A"/>
            </w:tcBorders>
            <w:vAlign w:val="center"/>
          </w:tcPr>
          <w:p w14:paraId="0867FF61"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При потребі</w:t>
            </w:r>
          </w:p>
        </w:tc>
      </w:tr>
      <w:tr w:rsidR="003170E9" w:rsidRPr="003170E9" w14:paraId="21C86379" w14:textId="77777777" w:rsidTr="00C80BBD">
        <w:trPr>
          <w:trHeight w:val="396"/>
        </w:trPr>
        <w:tc>
          <w:tcPr>
            <w:tcW w:w="9634" w:type="dxa"/>
            <w:gridSpan w:val="2"/>
            <w:tcBorders>
              <w:top w:val="single" w:sz="4" w:space="0" w:color="00000A"/>
              <w:left w:val="single" w:sz="4" w:space="0" w:color="00000A"/>
              <w:bottom w:val="single" w:sz="4" w:space="0" w:color="00000A"/>
              <w:right w:val="single" w:sz="4" w:space="0" w:color="00000A"/>
            </w:tcBorders>
          </w:tcPr>
          <w:p w14:paraId="226BEF4F" w14:textId="77777777" w:rsidR="003170E9" w:rsidRPr="003170E9" w:rsidRDefault="003170E9" w:rsidP="003170E9">
            <w:pPr>
              <w:shd w:val="clear" w:color="auto" w:fill="FFFFFF"/>
              <w:tabs>
                <w:tab w:val="left" w:pos="459"/>
              </w:tabs>
              <w:spacing w:after="0" w:line="240" w:lineRule="auto"/>
              <w:ind w:left="176"/>
              <w:jc w:val="center"/>
              <w:rPr>
                <w:rFonts w:ascii="Times New Roman" w:eastAsia="Times New Roman" w:hAnsi="Times New Roman" w:cs="Times New Roman"/>
                <w:sz w:val="24"/>
                <w:szCs w:val="24"/>
                <w:lang w:eastAsia="uk-UA"/>
              </w:rPr>
            </w:pPr>
            <w:r w:rsidRPr="003170E9">
              <w:rPr>
                <w:rFonts w:ascii="Times New Roman" w:hAnsi="Times New Roman" w:cs="Times New Roman"/>
                <w:b/>
                <w:sz w:val="24"/>
                <w:szCs w:val="24"/>
              </w:rPr>
              <w:t>Сезонне</w:t>
            </w:r>
            <w:r w:rsidRPr="003170E9">
              <w:rPr>
                <w:rFonts w:ascii="Times New Roman" w:hAnsi="Times New Roman" w:cs="Times New Roman"/>
                <w:b/>
                <w:spacing w:val="49"/>
                <w:sz w:val="24"/>
                <w:szCs w:val="24"/>
              </w:rPr>
              <w:t xml:space="preserve"> </w:t>
            </w:r>
            <w:r w:rsidRPr="003170E9">
              <w:rPr>
                <w:rFonts w:ascii="Times New Roman" w:hAnsi="Times New Roman" w:cs="Times New Roman"/>
                <w:b/>
                <w:sz w:val="24"/>
                <w:szCs w:val="24"/>
              </w:rPr>
              <w:t>обслуговування</w:t>
            </w:r>
            <w:r w:rsidRPr="003170E9">
              <w:rPr>
                <w:rFonts w:ascii="Times New Roman" w:hAnsi="Times New Roman" w:cs="Times New Roman"/>
                <w:b/>
                <w:spacing w:val="45"/>
                <w:sz w:val="24"/>
                <w:szCs w:val="24"/>
              </w:rPr>
              <w:t xml:space="preserve"> </w:t>
            </w:r>
            <w:r w:rsidRPr="003170E9">
              <w:rPr>
                <w:rFonts w:ascii="Times New Roman" w:hAnsi="Times New Roman" w:cs="Times New Roman"/>
                <w:sz w:val="24"/>
                <w:szCs w:val="24"/>
              </w:rPr>
              <w:t>(СО)</w:t>
            </w:r>
          </w:p>
        </w:tc>
      </w:tr>
      <w:tr w:rsidR="003170E9" w:rsidRPr="003170E9" w14:paraId="05038684" w14:textId="77777777" w:rsidTr="00C80BBD">
        <w:trPr>
          <w:trHeight w:val="396"/>
        </w:trPr>
        <w:tc>
          <w:tcPr>
            <w:tcW w:w="7334" w:type="dxa"/>
            <w:tcBorders>
              <w:top w:val="single" w:sz="4" w:space="0" w:color="00000A"/>
              <w:left w:val="single" w:sz="4" w:space="0" w:color="00000A"/>
              <w:bottom w:val="single" w:sz="4" w:space="0" w:color="00000A"/>
              <w:right w:val="single" w:sz="4" w:space="0" w:color="00000A"/>
            </w:tcBorders>
          </w:tcPr>
          <w:p w14:paraId="1F9CCE29" w14:textId="77777777" w:rsidR="003170E9" w:rsidRPr="003170E9" w:rsidRDefault="003170E9" w:rsidP="003170E9">
            <w:pPr>
              <w:pStyle w:val="a3"/>
              <w:numPr>
                <w:ilvl w:val="0"/>
                <w:numId w:val="39"/>
              </w:numPr>
              <w:shd w:val="clear" w:color="auto" w:fill="FFFFFF"/>
              <w:tabs>
                <w:tab w:val="left" w:pos="459"/>
              </w:tabs>
              <w:suppressAutoHyphens w:val="0"/>
              <w:spacing w:after="0" w:line="240" w:lineRule="auto"/>
              <w:jc w:val="both"/>
              <w:rPr>
                <w:rFonts w:ascii="Times New Roman" w:hAnsi="Times New Roman" w:cs="Times New Roman"/>
                <w:b/>
                <w:sz w:val="24"/>
                <w:szCs w:val="24"/>
              </w:rPr>
            </w:pPr>
            <w:proofErr w:type="spellStart"/>
            <w:r w:rsidRPr="003170E9">
              <w:rPr>
                <w:rFonts w:ascii="Times New Roman" w:hAnsi="Times New Roman" w:cs="Times New Roman"/>
                <w:sz w:val="24"/>
                <w:szCs w:val="24"/>
              </w:rPr>
              <w:t>Роботи</w:t>
            </w:r>
            <w:proofErr w:type="spellEnd"/>
            <w:r w:rsidRPr="003170E9">
              <w:rPr>
                <w:rFonts w:ascii="Times New Roman" w:hAnsi="Times New Roman" w:cs="Times New Roman"/>
                <w:sz w:val="24"/>
                <w:szCs w:val="24"/>
              </w:rPr>
              <w:t xml:space="preserve"> в </w:t>
            </w:r>
            <w:proofErr w:type="spellStart"/>
            <w:r w:rsidRPr="003170E9">
              <w:rPr>
                <w:rFonts w:ascii="Times New Roman" w:hAnsi="Times New Roman" w:cs="Times New Roman"/>
                <w:sz w:val="24"/>
                <w:szCs w:val="24"/>
              </w:rPr>
              <w:t>обсязі</w:t>
            </w:r>
            <w:proofErr w:type="spellEnd"/>
            <w:r w:rsidRPr="003170E9">
              <w:rPr>
                <w:rFonts w:ascii="Times New Roman" w:hAnsi="Times New Roman" w:cs="Times New Roman"/>
                <w:sz w:val="24"/>
                <w:szCs w:val="24"/>
              </w:rPr>
              <w:t xml:space="preserve"> ТО № 1;</w:t>
            </w:r>
          </w:p>
        </w:tc>
        <w:tc>
          <w:tcPr>
            <w:tcW w:w="2300" w:type="dxa"/>
            <w:vMerge w:val="restart"/>
            <w:tcBorders>
              <w:top w:val="single" w:sz="4" w:space="0" w:color="00000A"/>
              <w:left w:val="single" w:sz="4" w:space="0" w:color="00000A"/>
              <w:right w:val="single" w:sz="4" w:space="0" w:color="00000A"/>
            </w:tcBorders>
            <w:vAlign w:val="center"/>
          </w:tcPr>
          <w:p w14:paraId="5D9DAD05" w14:textId="77777777" w:rsidR="003170E9" w:rsidRPr="003170E9" w:rsidRDefault="003170E9" w:rsidP="003170E9">
            <w:pPr>
              <w:pStyle w:val="TableParagraph"/>
              <w:ind w:left="309"/>
              <w:jc w:val="center"/>
              <w:rPr>
                <w:sz w:val="24"/>
                <w:szCs w:val="24"/>
              </w:rPr>
            </w:pPr>
            <w:r w:rsidRPr="003170E9">
              <w:rPr>
                <w:sz w:val="24"/>
                <w:szCs w:val="24"/>
                <w:lang w:val="ru-RU"/>
              </w:rPr>
              <w:t>д</w:t>
            </w:r>
            <w:r w:rsidRPr="003170E9">
              <w:rPr>
                <w:sz w:val="24"/>
                <w:szCs w:val="24"/>
              </w:rPr>
              <w:t>вічі</w:t>
            </w:r>
            <w:r w:rsidRPr="003170E9">
              <w:rPr>
                <w:sz w:val="24"/>
                <w:szCs w:val="24"/>
                <w:lang w:val="ru-RU"/>
              </w:rPr>
              <w:t xml:space="preserve"> </w:t>
            </w:r>
            <w:r w:rsidRPr="003170E9">
              <w:rPr>
                <w:sz w:val="24"/>
                <w:szCs w:val="24"/>
              </w:rPr>
              <w:t>на</w:t>
            </w:r>
            <w:r w:rsidRPr="003170E9">
              <w:rPr>
                <w:sz w:val="24"/>
                <w:szCs w:val="24"/>
                <w:lang w:val="ru-RU"/>
              </w:rPr>
              <w:t xml:space="preserve"> </w:t>
            </w:r>
            <w:r w:rsidRPr="003170E9">
              <w:rPr>
                <w:sz w:val="24"/>
                <w:szCs w:val="24"/>
              </w:rPr>
              <w:t>рік</w:t>
            </w:r>
            <w:r w:rsidRPr="003170E9">
              <w:rPr>
                <w:sz w:val="24"/>
                <w:szCs w:val="24"/>
                <w:lang w:val="ru-RU"/>
              </w:rPr>
              <w:t xml:space="preserve"> </w:t>
            </w:r>
            <w:r w:rsidRPr="003170E9">
              <w:rPr>
                <w:sz w:val="24"/>
                <w:szCs w:val="24"/>
              </w:rPr>
              <w:t>у квітні-травні та</w:t>
            </w:r>
            <w:r w:rsidRPr="003170E9">
              <w:rPr>
                <w:sz w:val="24"/>
                <w:szCs w:val="24"/>
                <w:lang w:val="ru-RU"/>
              </w:rPr>
              <w:t xml:space="preserve"> </w:t>
            </w:r>
            <w:r w:rsidRPr="003170E9">
              <w:rPr>
                <w:sz w:val="24"/>
                <w:szCs w:val="24"/>
              </w:rPr>
              <w:t>жовтні-листопаді</w:t>
            </w:r>
          </w:p>
        </w:tc>
      </w:tr>
      <w:tr w:rsidR="003170E9" w:rsidRPr="003170E9" w14:paraId="6B48BEC3" w14:textId="77777777" w:rsidTr="00C80BBD">
        <w:trPr>
          <w:trHeight w:val="396"/>
        </w:trPr>
        <w:tc>
          <w:tcPr>
            <w:tcW w:w="7334" w:type="dxa"/>
            <w:tcBorders>
              <w:top w:val="single" w:sz="4" w:space="0" w:color="00000A"/>
              <w:left w:val="single" w:sz="4" w:space="0" w:color="00000A"/>
              <w:bottom w:val="single" w:sz="4" w:space="0" w:color="00000A"/>
              <w:right w:val="single" w:sz="4" w:space="0" w:color="00000A"/>
            </w:tcBorders>
          </w:tcPr>
          <w:p w14:paraId="734C266E"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2. Заміни елементів та вузлів комплексу, герметичних прокладок та інших матеріалів, що мають обмежений термін служби (зберігання)</w:t>
            </w:r>
          </w:p>
        </w:tc>
        <w:tc>
          <w:tcPr>
            <w:tcW w:w="2300" w:type="dxa"/>
            <w:vMerge/>
            <w:tcBorders>
              <w:left w:val="single" w:sz="4" w:space="0" w:color="00000A"/>
              <w:bottom w:val="single" w:sz="4" w:space="0" w:color="00000A"/>
              <w:right w:val="single" w:sz="4" w:space="0" w:color="00000A"/>
            </w:tcBorders>
          </w:tcPr>
          <w:p w14:paraId="4B6B37CE" w14:textId="77777777" w:rsidR="003170E9" w:rsidRPr="003170E9" w:rsidRDefault="003170E9" w:rsidP="003170E9">
            <w:pPr>
              <w:spacing w:after="0" w:line="240" w:lineRule="auto"/>
              <w:ind w:left="309"/>
              <w:rPr>
                <w:rFonts w:ascii="Times New Roman" w:hAnsi="Times New Roman" w:cs="Times New Roman"/>
                <w:sz w:val="24"/>
                <w:szCs w:val="24"/>
              </w:rPr>
            </w:pPr>
          </w:p>
        </w:tc>
      </w:tr>
      <w:tr w:rsidR="003170E9" w:rsidRPr="003170E9" w14:paraId="56B303BB" w14:textId="77777777" w:rsidTr="00C80BBD">
        <w:trPr>
          <w:trHeight w:val="396"/>
        </w:trPr>
        <w:tc>
          <w:tcPr>
            <w:tcW w:w="7334" w:type="dxa"/>
            <w:tcBorders>
              <w:top w:val="single" w:sz="4" w:space="0" w:color="00000A"/>
              <w:left w:val="single" w:sz="4" w:space="0" w:color="00000A"/>
              <w:bottom w:val="single" w:sz="4" w:space="0" w:color="00000A"/>
              <w:right w:val="single" w:sz="4" w:space="0" w:color="00000A"/>
            </w:tcBorders>
          </w:tcPr>
          <w:p w14:paraId="60CB3261"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3. Профілактичне обслуговування: фарбування корпусу, видалення слідів корозії на зовнішній поверхні обладнання Комплексу</w:t>
            </w:r>
          </w:p>
        </w:tc>
        <w:tc>
          <w:tcPr>
            <w:tcW w:w="2300" w:type="dxa"/>
            <w:tcBorders>
              <w:left w:val="single" w:sz="4" w:space="0" w:color="00000A"/>
              <w:bottom w:val="single" w:sz="4" w:space="0" w:color="00000A"/>
              <w:right w:val="single" w:sz="4" w:space="0" w:color="00000A"/>
            </w:tcBorders>
            <w:vAlign w:val="center"/>
          </w:tcPr>
          <w:p w14:paraId="6E5890AC" w14:textId="77777777" w:rsidR="003170E9" w:rsidRPr="003170E9" w:rsidRDefault="003170E9" w:rsidP="003170E9">
            <w:pPr>
              <w:spacing w:after="0" w:line="240" w:lineRule="auto"/>
              <w:ind w:left="309"/>
              <w:jc w:val="center"/>
              <w:rPr>
                <w:rFonts w:ascii="Times New Roman" w:hAnsi="Times New Roman" w:cs="Times New Roman"/>
                <w:sz w:val="24"/>
                <w:szCs w:val="24"/>
              </w:rPr>
            </w:pPr>
            <w:r w:rsidRPr="003170E9">
              <w:rPr>
                <w:rFonts w:ascii="Times New Roman" w:hAnsi="Times New Roman" w:cs="Times New Roman"/>
                <w:sz w:val="24"/>
                <w:szCs w:val="24"/>
              </w:rPr>
              <w:t>Щорічно</w:t>
            </w:r>
          </w:p>
        </w:tc>
      </w:tr>
      <w:tr w:rsidR="003170E9" w:rsidRPr="003170E9" w14:paraId="7E97BD84" w14:textId="77777777" w:rsidTr="00C80BBD">
        <w:trPr>
          <w:trHeight w:val="396"/>
        </w:trPr>
        <w:tc>
          <w:tcPr>
            <w:tcW w:w="7334" w:type="dxa"/>
            <w:tcBorders>
              <w:top w:val="single" w:sz="4" w:space="0" w:color="00000A"/>
              <w:left w:val="single" w:sz="4" w:space="0" w:color="00000A"/>
              <w:bottom w:val="single" w:sz="4" w:space="0" w:color="00000A"/>
              <w:right w:val="single" w:sz="4" w:space="0" w:color="00000A"/>
            </w:tcBorders>
          </w:tcPr>
          <w:p w14:paraId="2CA2F07B"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 xml:space="preserve">4. Проведення калібрування, організація проведення метрологічної повірки відповідно до затверджених </w:t>
            </w:r>
            <w:proofErr w:type="spellStart"/>
            <w:r w:rsidRPr="003170E9">
              <w:rPr>
                <w:rFonts w:ascii="Times New Roman" w:hAnsi="Times New Roman" w:cs="Times New Roman"/>
                <w:sz w:val="24"/>
                <w:szCs w:val="24"/>
              </w:rPr>
              <w:t>міжповірочних</w:t>
            </w:r>
            <w:proofErr w:type="spellEnd"/>
            <w:r w:rsidRPr="003170E9">
              <w:rPr>
                <w:rFonts w:ascii="Times New Roman" w:hAnsi="Times New Roman" w:cs="Times New Roman"/>
                <w:sz w:val="24"/>
                <w:szCs w:val="24"/>
              </w:rPr>
              <w:t xml:space="preserve"> інтервалів технічних засобів (приладів контролю)</w:t>
            </w:r>
          </w:p>
        </w:tc>
        <w:tc>
          <w:tcPr>
            <w:tcW w:w="2300" w:type="dxa"/>
            <w:tcBorders>
              <w:left w:val="single" w:sz="4" w:space="0" w:color="00000A"/>
              <w:bottom w:val="single" w:sz="4" w:space="0" w:color="00000A"/>
              <w:right w:val="single" w:sz="4" w:space="0" w:color="00000A"/>
            </w:tcBorders>
            <w:vAlign w:val="center"/>
          </w:tcPr>
          <w:p w14:paraId="01F06678" w14:textId="77777777" w:rsidR="003170E9" w:rsidRPr="003170E9" w:rsidRDefault="003170E9" w:rsidP="003170E9">
            <w:pPr>
              <w:spacing w:after="0" w:line="240" w:lineRule="auto"/>
              <w:ind w:left="309"/>
              <w:jc w:val="center"/>
              <w:rPr>
                <w:rFonts w:ascii="Times New Roman" w:hAnsi="Times New Roman" w:cs="Times New Roman"/>
                <w:sz w:val="24"/>
                <w:szCs w:val="24"/>
              </w:rPr>
            </w:pPr>
            <w:r w:rsidRPr="003170E9">
              <w:rPr>
                <w:rFonts w:ascii="Times New Roman" w:hAnsi="Times New Roman" w:cs="Times New Roman"/>
                <w:sz w:val="24"/>
                <w:szCs w:val="24"/>
              </w:rPr>
              <w:t>Щорічно</w:t>
            </w:r>
          </w:p>
        </w:tc>
      </w:tr>
      <w:tr w:rsidR="003170E9" w:rsidRPr="003170E9" w14:paraId="41A2DC6E" w14:textId="77777777" w:rsidTr="00C80BBD">
        <w:trPr>
          <w:trHeight w:val="396"/>
        </w:trPr>
        <w:tc>
          <w:tcPr>
            <w:tcW w:w="9634" w:type="dxa"/>
            <w:gridSpan w:val="2"/>
            <w:tcBorders>
              <w:top w:val="single" w:sz="4" w:space="0" w:color="00000A"/>
              <w:left w:val="single" w:sz="4" w:space="0" w:color="00000A"/>
              <w:bottom w:val="single" w:sz="4" w:space="0" w:color="00000A"/>
              <w:right w:val="single" w:sz="4" w:space="0" w:color="00000A"/>
            </w:tcBorders>
          </w:tcPr>
          <w:p w14:paraId="1E4E6C71" w14:textId="77777777" w:rsidR="003170E9" w:rsidRPr="003170E9" w:rsidRDefault="003170E9" w:rsidP="003170E9">
            <w:pPr>
              <w:spacing w:after="0" w:line="240" w:lineRule="auto"/>
              <w:ind w:left="309"/>
              <w:jc w:val="center"/>
              <w:rPr>
                <w:rFonts w:ascii="Times New Roman" w:hAnsi="Times New Roman" w:cs="Times New Roman"/>
                <w:sz w:val="24"/>
                <w:szCs w:val="24"/>
              </w:rPr>
            </w:pPr>
            <w:r w:rsidRPr="003170E9">
              <w:rPr>
                <w:rFonts w:ascii="Times New Roman" w:hAnsi="Times New Roman" w:cs="Times New Roman"/>
                <w:b/>
                <w:sz w:val="24"/>
                <w:szCs w:val="24"/>
              </w:rPr>
              <w:t>Технічна підтримка</w:t>
            </w:r>
          </w:p>
        </w:tc>
      </w:tr>
      <w:tr w:rsidR="003170E9" w:rsidRPr="003170E9" w14:paraId="3D21468F" w14:textId="77777777" w:rsidTr="00C80BBD">
        <w:trPr>
          <w:trHeight w:val="396"/>
        </w:trPr>
        <w:tc>
          <w:tcPr>
            <w:tcW w:w="7334" w:type="dxa"/>
            <w:tcBorders>
              <w:top w:val="single" w:sz="4" w:space="0" w:color="00000A"/>
              <w:left w:val="single" w:sz="4" w:space="0" w:color="00000A"/>
              <w:bottom w:val="single" w:sz="4" w:space="0" w:color="00000A"/>
              <w:right w:val="single" w:sz="4" w:space="0" w:color="00000A"/>
            </w:tcBorders>
          </w:tcPr>
          <w:p w14:paraId="1FEF3657"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Віддалене усунення аварій та збоїв у режимі 24/7 з метою запобігання довготривалим відмовам і недолікам у роботі. Співпраця зі службами по відновленню електроживлення на точках підключення комплексів</w:t>
            </w:r>
          </w:p>
        </w:tc>
        <w:tc>
          <w:tcPr>
            <w:tcW w:w="2300" w:type="dxa"/>
            <w:tcBorders>
              <w:top w:val="single" w:sz="4" w:space="0" w:color="00000A"/>
              <w:left w:val="single" w:sz="4" w:space="0" w:color="00000A"/>
              <w:bottom w:val="single" w:sz="4" w:space="0" w:color="00000A"/>
              <w:right w:val="single" w:sz="4" w:space="0" w:color="00000A"/>
            </w:tcBorders>
            <w:vAlign w:val="center"/>
          </w:tcPr>
          <w:p w14:paraId="37045AEF" w14:textId="77777777" w:rsidR="003170E9" w:rsidRPr="003170E9" w:rsidRDefault="003170E9" w:rsidP="003170E9">
            <w:pPr>
              <w:spacing w:after="0" w:line="240" w:lineRule="auto"/>
              <w:ind w:left="-142" w:firstLine="451"/>
              <w:jc w:val="center"/>
              <w:rPr>
                <w:rFonts w:ascii="Times New Roman" w:hAnsi="Times New Roman" w:cs="Times New Roman"/>
                <w:sz w:val="24"/>
                <w:szCs w:val="24"/>
              </w:rPr>
            </w:pPr>
            <w:r w:rsidRPr="003170E9">
              <w:rPr>
                <w:rFonts w:ascii="Times New Roman" w:hAnsi="Times New Roman" w:cs="Times New Roman"/>
                <w:sz w:val="24"/>
                <w:szCs w:val="24"/>
              </w:rPr>
              <w:t>Цілодобово</w:t>
            </w:r>
          </w:p>
        </w:tc>
      </w:tr>
      <w:tr w:rsidR="003170E9" w:rsidRPr="003170E9" w14:paraId="23666F1B" w14:textId="77777777" w:rsidTr="00C80BBD">
        <w:trPr>
          <w:trHeight w:val="698"/>
        </w:trPr>
        <w:tc>
          <w:tcPr>
            <w:tcW w:w="7334" w:type="dxa"/>
            <w:vMerge w:val="restart"/>
            <w:tcBorders>
              <w:top w:val="single" w:sz="4" w:space="0" w:color="00000A"/>
              <w:left w:val="single" w:sz="4" w:space="0" w:color="00000A"/>
              <w:right w:val="single" w:sz="4" w:space="0" w:color="00000A"/>
            </w:tcBorders>
          </w:tcPr>
          <w:p w14:paraId="409CBD95"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3170E9">
              <w:rPr>
                <w:rFonts w:ascii="Times New Roman" w:hAnsi="Times New Roman" w:cs="Times New Roman"/>
                <w:sz w:val="24"/>
                <w:szCs w:val="24"/>
                <w:lang w:val="en-US"/>
              </w:rPr>
              <w:t>SSD</w:t>
            </w:r>
            <w:r w:rsidRPr="003170E9">
              <w:rPr>
                <w:rFonts w:ascii="Times New Roman" w:hAnsi="Times New Roman" w:cs="Times New Roman"/>
                <w:sz w:val="24"/>
                <w:szCs w:val="24"/>
              </w:rPr>
              <w:t xml:space="preserve">, </w:t>
            </w:r>
            <w:proofErr w:type="spellStart"/>
            <w:r w:rsidRPr="003170E9">
              <w:rPr>
                <w:rFonts w:ascii="Times New Roman" w:hAnsi="Times New Roman" w:cs="Times New Roman"/>
                <w:sz w:val="24"/>
                <w:szCs w:val="24"/>
              </w:rPr>
              <w:t>роутера</w:t>
            </w:r>
            <w:proofErr w:type="spellEnd"/>
            <w:r w:rsidRPr="003170E9">
              <w:rPr>
                <w:rFonts w:ascii="Times New Roman" w:hAnsi="Times New Roman" w:cs="Times New Roman"/>
                <w:sz w:val="24"/>
                <w:szCs w:val="24"/>
              </w:rPr>
              <w:t xml:space="preserve"> та інших складових комплексу, для заміни яких не потрібен демонтаж комплексу: при вартості складових, що становить менше </w:t>
            </w:r>
            <w:r w:rsidRPr="003170E9">
              <w:rPr>
                <w:rFonts w:ascii="Times New Roman" w:hAnsi="Times New Roman" w:cs="Times New Roman"/>
                <w:sz w:val="24"/>
                <w:szCs w:val="24"/>
              </w:rPr>
              <w:lastRenderedPageBreak/>
              <w:t>3000,00 грн з ПДВ, за рахунок Виконавця, при іншої вартості – за рахунок Замовника.</w:t>
            </w:r>
          </w:p>
        </w:tc>
        <w:tc>
          <w:tcPr>
            <w:tcW w:w="2300" w:type="dxa"/>
            <w:tcBorders>
              <w:top w:val="single" w:sz="4" w:space="0" w:color="00000A"/>
              <w:left w:val="single" w:sz="4" w:space="0" w:color="00000A"/>
              <w:bottom w:val="single" w:sz="4" w:space="0" w:color="00000A"/>
              <w:right w:val="single" w:sz="4" w:space="0" w:color="00000A"/>
            </w:tcBorders>
          </w:tcPr>
          <w:p w14:paraId="5821CA9B" w14:textId="77777777" w:rsidR="003170E9" w:rsidRPr="003170E9" w:rsidRDefault="003170E9" w:rsidP="003170E9">
            <w:pPr>
              <w:spacing w:after="0" w:line="240" w:lineRule="auto"/>
              <w:jc w:val="center"/>
              <w:rPr>
                <w:rFonts w:ascii="Times New Roman" w:hAnsi="Times New Roman" w:cs="Times New Roman"/>
                <w:sz w:val="24"/>
                <w:szCs w:val="24"/>
              </w:rPr>
            </w:pPr>
            <w:r w:rsidRPr="003170E9">
              <w:rPr>
                <w:rFonts w:ascii="Times New Roman" w:eastAsia="Times New Roman" w:hAnsi="Times New Roman" w:cs="Times New Roman"/>
                <w:sz w:val="24"/>
                <w:szCs w:val="24"/>
                <w:lang w:eastAsia="uk-UA"/>
              </w:rPr>
              <w:lastRenderedPageBreak/>
              <w:t>Відновлення роботи комплексу протягом та максимум трьох діб з моменту виявлення непрацездатності</w:t>
            </w:r>
          </w:p>
        </w:tc>
      </w:tr>
      <w:tr w:rsidR="003170E9" w:rsidRPr="003170E9" w14:paraId="06C7C749" w14:textId="77777777" w:rsidTr="00C80BBD">
        <w:trPr>
          <w:trHeight w:val="718"/>
        </w:trPr>
        <w:tc>
          <w:tcPr>
            <w:tcW w:w="7334" w:type="dxa"/>
            <w:vMerge/>
            <w:tcBorders>
              <w:left w:val="single" w:sz="4" w:space="0" w:color="00000A"/>
              <w:right w:val="single" w:sz="4" w:space="0" w:color="00000A"/>
            </w:tcBorders>
          </w:tcPr>
          <w:p w14:paraId="2BC12DA2"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p>
        </w:tc>
        <w:tc>
          <w:tcPr>
            <w:tcW w:w="2300" w:type="dxa"/>
            <w:tcBorders>
              <w:top w:val="single" w:sz="4" w:space="0" w:color="00000A"/>
              <w:left w:val="single" w:sz="4" w:space="0" w:color="00000A"/>
              <w:bottom w:val="single" w:sz="4" w:space="0" w:color="00000A"/>
              <w:right w:val="single" w:sz="4" w:space="0" w:color="00000A"/>
            </w:tcBorders>
            <w:vAlign w:val="center"/>
          </w:tcPr>
          <w:p w14:paraId="2D007CFD" w14:textId="77777777" w:rsidR="003170E9" w:rsidRPr="003170E9" w:rsidRDefault="003170E9" w:rsidP="003170E9">
            <w:pPr>
              <w:spacing w:after="0" w:line="240" w:lineRule="auto"/>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Заміна складових впродовж тижня</w:t>
            </w:r>
          </w:p>
        </w:tc>
      </w:tr>
      <w:tr w:rsidR="003170E9" w:rsidRPr="003170E9" w14:paraId="58F2E370" w14:textId="77777777" w:rsidTr="00C80BBD">
        <w:trPr>
          <w:trHeight w:val="879"/>
        </w:trPr>
        <w:tc>
          <w:tcPr>
            <w:tcW w:w="7334" w:type="dxa"/>
            <w:tcBorders>
              <w:left w:val="single" w:sz="4" w:space="0" w:color="00000A"/>
              <w:right w:val="single" w:sz="4" w:space="0" w:color="00000A"/>
            </w:tcBorders>
          </w:tcPr>
          <w:p w14:paraId="3934F909"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2300" w:type="dxa"/>
            <w:tcBorders>
              <w:top w:val="single" w:sz="4" w:space="0" w:color="00000A"/>
              <w:left w:val="single" w:sz="4" w:space="0" w:color="00000A"/>
              <w:bottom w:val="single" w:sz="4" w:space="0" w:color="00000A"/>
              <w:right w:val="single" w:sz="4" w:space="0" w:color="00000A"/>
            </w:tcBorders>
            <w:vAlign w:val="center"/>
          </w:tcPr>
          <w:p w14:paraId="4042ACFB" w14:textId="77777777" w:rsidR="003170E9" w:rsidRPr="003170E9" w:rsidRDefault="003170E9" w:rsidP="003170E9">
            <w:pPr>
              <w:spacing w:after="0" w:line="240" w:lineRule="auto"/>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При потребі в ремонті, здійсненні демонтажу</w:t>
            </w:r>
          </w:p>
        </w:tc>
      </w:tr>
      <w:tr w:rsidR="003170E9" w:rsidRPr="003170E9" w14:paraId="48B9809E" w14:textId="77777777" w:rsidTr="00C80BBD">
        <w:trPr>
          <w:trHeight w:val="1530"/>
        </w:trPr>
        <w:tc>
          <w:tcPr>
            <w:tcW w:w="7334" w:type="dxa"/>
            <w:tcBorders>
              <w:left w:val="single" w:sz="4" w:space="0" w:color="00000A"/>
              <w:right w:val="single" w:sz="4" w:space="0" w:color="00000A"/>
            </w:tcBorders>
          </w:tcPr>
          <w:p w14:paraId="790C19C0"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2300" w:type="dxa"/>
            <w:tcBorders>
              <w:top w:val="single" w:sz="4" w:space="0" w:color="00000A"/>
              <w:left w:val="single" w:sz="4" w:space="0" w:color="00000A"/>
              <w:bottom w:val="single" w:sz="4" w:space="0" w:color="00000A"/>
              <w:right w:val="single" w:sz="4" w:space="0" w:color="00000A"/>
            </w:tcBorders>
            <w:vAlign w:val="center"/>
          </w:tcPr>
          <w:p w14:paraId="6044C153" w14:textId="77777777" w:rsidR="003170E9" w:rsidRPr="003170E9" w:rsidRDefault="003170E9" w:rsidP="003170E9">
            <w:pPr>
              <w:spacing w:after="0" w:line="240" w:lineRule="auto"/>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При заміні складових впродовж тижня або при ремонті комплексу</w:t>
            </w:r>
          </w:p>
        </w:tc>
      </w:tr>
      <w:tr w:rsidR="003170E9" w:rsidRPr="003170E9" w14:paraId="700366E8" w14:textId="77777777" w:rsidTr="00C80BBD">
        <w:trPr>
          <w:trHeight w:val="523"/>
        </w:trPr>
        <w:tc>
          <w:tcPr>
            <w:tcW w:w="9634" w:type="dxa"/>
            <w:gridSpan w:val="2"/>
            <w:tcBorders>
              <w:left w:val="single" w:sz="4" w:space="0" w:color="00000A"/>
              <w:right w:val="single" w:sz="4" w:space="0" w:color="00000A"/>
            </w:tcBorders>
          </w:tcPr>
          <w:p w14:paraId="0F8803B8" w14:textId="77777777" w:rsidR="003170E9" w:rsidRPr="003170E9" w:rsidRDefault="003170E9" w:rsidP="003170E9">
            <w:pPr>
              <w:spacing w:after="0" w:line="240" w:lineRule="auto"/>
              <w:jc w:val="center"/>
              <w:rPr>
                <w:rFonts w:ascii="Times New Roman" w:eastAsia="Times New Roman" w:hAnsi="Times New Roman" w:cs="Times New Roman"/>
                <w:sz w:val="24"/>
                <w:szCs w:val="24"/>
                <w:lang w:eastAsia="uk-UA"/>
              </w:rPr>
            </w:pPr>
            <w:r w:rsidRPr="003170E9">
              <w:rPr>
                <w:rFonts w:ascii="Times New Roman" w:hAnsi="Times New Roman" w:cs="Times New Roman"/>
                <w:b/>
                <w:sz w:val="24"/>
                <w:szCs w:val="24"/>
              </w:rPr>
              <w:t>Демонтаж та діагностика у сервісному центрі</w:t>
            </w:r>
          </w:p>
        </w:tc>
      </w:tr>
      <w:tr w:rsidR="003170E9" w:rsidRPr="003170E9" w14:paraId="0FE9F7E7" w14:textId="77777777" w:rsidTr="00C80BBD">
        <w:trPr>
          <w:trHeight w:val="441"/>
        </w:trPr>
        <w:tc>
          <w:tcPr>
            <w:tcW w:w="7334" w:type="dxa"/>
            <w:tcBorders>
              <w:left w:val="single" w:sz="4" w:space="0" w:color="00000A"/>
              <w:right w:val="single" w:sz="4" w:space="0" w:color="00000A"/>
            </w:tcBorders>
          </w:tcPr>
          <w:p w14:paraId="4D8FD3E8"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Демонтаж (при неможливості відновити роботу комплексу на місці встановлення)</w:t>
            </w:r>
          </w:p>
        </w:tc>
        <w:tc>
          <w:tcPr>
            <w:tcW w:w="2300" w:type="dxa"/>
            <w:tcBorders>
              <w:top w:val="single" w:sz="4" w:space="0" w:color="00000A"/>
              <w:left w:val="single" w:sz="4" w:space="0" w:color="00000A"/>
              <w:bottom w:val="single" w:sz="4" w:space="0" w:color="00000A"/>
              <w:right w:val="single" w:sz="4" w:space="0" w:color="00000A"/>
            </w:tcBorders>
            <w:vAlign w:val="center"/>
          </w:tcPr>
          <w:p w14:paraId="21C14E6A" w14:textId="77777777" w:rsidR="003170E9" w:rsidRPr="003170E9" w:rsidRDefault="003170E9" w:rsidP="003170E9">
            <w:pPr>
              <w:spacing w:after="0" w:line="240" w:lineRule="auto"/>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При потребі</w:t>
            </w:r>
          </w:p>
        </w:tc>
      </w:tr>
      <w:tr w:rsidR="003170E9" w:rsidRPr="003170E9" w14:paraId="433587C3" w14:textId="77777777" w:rsidTr="00C80BBD">
        <w:trPr>
          <w:trHeight w:val="665"/>
        </w:trPr>
        <w:tc>
          <w:tcPr>
            <w:tcW w:w="7334" w:type="dxa"/>
            <w:tcBorders>
              <w:left w:val="single" w:sz="4" w:space="0" w:color="00000A"/>
              <w:bottom w:val="single" w:sz="4" w:space="0" w:color="00000A"/>
              <w:right w:val="single" w:sz="4" w:space="0" w:color="00000A"/>
            </w:tcBorders>
            <w:vAlign w:val="center"/>
          </w:tcPr>
          <w:p w14:paraId="1DD7FFA9" w14:textId="77777777" w:rsidR="003170E9" w:rsidRPr="003170E9" w:rsidRDefault="003170E9" w:rsidP="003170E9">
            <w:pPr>
              <w:shd w:val="clear" w:color="auto" w:fill="FFFFFF"/>
              <w:tabs>
                <w:tab w:val="left" w:pos="459"/>
              </w:tabs>
              <w:spacing w:after="0" w:line="240" w:lineRule="auto"/>
              <w:ind w:left="176"/>
              <w:jc w:val="both"/>
              <w:rPr>
                <w:rFonts w:ascii="Times New Roman" w:hAnsi="Times New Roman" w:cs="Times New Roman"/>
                <w:sz w:val="24"/>
                <w:szCs w:val="24"/>
              </w:rPr>
            </w:pPr>
            <w:r w:rsidRPr="003170E9">
              <w:rPr>
                <w:rFonts w:ascii="Times New Roman" w:hAnsi="Times New Roman" w:cs="Times New Roman"/>
                <w:sz w:val="24"/>
                <w:szCs w:val="24"/>
              </w:rPr>
              <w:t>Діагностика в сервісному центрі</w:t>
            </w:r>
          </w:p>
        </w:tc>
        <w:tc>
          <w:tcPr>
            <w:tcW w:w="2300" w:type="dxa"/>
            <w:tcBorders>
              <w:top w:val="single" w:sz="4" w:space="0" w:color="00000A"/>
              <w:left w:val="single" w:sz="4" w:space="0" w:color="00000A"/>
              <w:bottom w:val="single" w:sz="4" w:space="0" w:color="00000A"/>
              <w:right w:val="single" w:sz="4" w:space="0" w:color="00000A"/>
            </w:tcBorders>
            <w:vAlign w:val="center"/>
          </w:tcPr>
          <w:p w14:paraId="0277A65A" w14:textId="77777777" w:rsidR="003170E9" w:rsidRPr="003170E9" w:rsidRDefault="003170E9" w:rsidP="003170E9">
            <w:pPr>
              <w:spacing w:after="0" w:line="240" w:lineRule="auto"/>
              <w:jc w:val="center"/>
              <w:rPr>
                <w:rFonts w:ascii="Times New Roman" w:eastAsia="Times New Roman" w:hAnsi="Times New Roman" w:cs="Times New Roman"/>
                <w:sz w:val="24"/>
                <w:szCs w:val="24"/>
                <w:lang w:eastAsia="uk-UA"/>
              </w:rPr>
            </w:pPr>
            <w:r w:rsidRPr="003170E9">
              <w:rPr>
                <w:rFonts w:ascii="Times New Roman" w:eastAsia="Times New Roman" w:hAnsi="Times New Roman" w:cs="Times New Roman"/>
                <w:sz w:val="24"/>
                <w:szCs w:val="24"/>
                <w:lang w:eastAsia="uk-UA"/>
              </w:rPr>
              <w:t>Після здійсненого демонтажу</w:t>
            </w:r>
          </w:p>
        </w:tc>
      </w:tr>
    </w:tbl>
    <w:p w14:paraId="77A61F1A" w14:textId="77777777" w:rsidR="003170E9" w:rsidRPr="003170E9" w:rsidRDefault="003170E9" w:rsidP="003170E9">
      <w:pPr>
        <w:spacing w:after="0" w:line="240" w:lineRule="auto"/>
        <w:ind w:left="360"/>
        <w:rPr>
          <w:rFonts w:ascii="Times New Roman" w:eastAsia="Times New Roman" w:hAnsi="Times New Roman" w:cs="Times New Roman"/>
          <w:b/>
          <w:bCs/>
          <w:sz w:val="24"/>
          <w:szCs w:val="24"/>
          <w:lang w:eastAsia="uk-UA"/>
        </w:rPr>
      </w:pPr>
    </w:p>
    <w:p w14:paraId="3B04226E" w14:textId="77777777" w:rsidR="003170E9" w:rsidRPr="003170E9" w:rsidRDefault="003170E9" w:rsidP="003170E9">
      <w:pPr>
        <w:spacing w:after="0" w:line="240" w:lineRule="auto"/>
        <w:ind w:left="360"/>
        <w:jc w:val="both"/>
        <w:rPr>
          <w:rFonts w:ascii="Times New Roman" w:eastAsia="Times New Roman" w:hAnsi="Times New Roman" w:cs="Times New Roman"/>
          <w:b/>
          <w:sz w:val="24"/>
          <w:szCs w:val="24"/>
          <w:lang w:eastAsia="uk-UA"/>
        </w:rPr>
      </w:pPr>
      <w:r w:rsidRPr="003170E9">
        <w:rPr>
          <w:rFonts w:ascii="Times New Roman" w:eastAsia="Times New Roman" w:hAnsi="Times New Roman" w:cs="Times New Roman"/>
          <w:b/>
          <w:sz w:val="24"/>
          <w:szCs w:val="24"/>
          <w:lang w:eastAsia="uk-UA"/>
        </w:rPr>
        <w:t>4. Вимоги до послуг із супроводження та технічного обслуговування</w:t>
      </w:r>
      <w:r w:rsidRPr="003170E9">
        <w:rPr>
          <w:rFonts w:ascii="Times New Roman" w:eastAsia="Times New Roman" w:hAnsi="Times New Roman" w:cs="Times New Roman"/>
          <w:sz w:val="24"/>
          <w:szCs w:val="24"/>
          <w:lang w:eastAsia="uk-UA"/>
        </w:rPr>
        <w:t xml:space="preserve"> </w:t>
      </w:r>
      <w:r w:rsidRPr="003170E9">
        <w:rPr>
          <w:rFonts w:ascii="Times New Roman" w:eastAsia="Times New Roman" w:hAnsi="Times New Roman" w:cs="Times New Roman"/>
          <w:b/>
          <w:sz w:val="24"/>
          <w:szCs w:val="24"/>
          <w:lang w:eastAsia="uk-UA"/>
        </w:rPr>
        <w:t>Комплексів автоматичної фіксації порушень Правил дорожнього руху «</w:t>
      </w:r>
      <w:r w:rsidRPr="003170E9">
        <w:rPr>
          <w:rFonts w:ascii="Times New Roman" w:eastAsia="Times New Roman" w:hAnsi="Times New Roman" w:cs="Times New Roman"/>
          <w:b/>
          <w:sz w:val="24"/>
          <w:szCs w:val="24"/>
          <w:lang w:val="en-US" w:eastAsia="uk-UA"/>
        </w:rPr>
        <w:t>Vega Smart Speed Dual Band</w:t>
      </w:r>
      <w:r w:rsidRPr="003170E9">
        <w:rPr>
          <w:rFonts w:ascii="Times New Roman" w:eastAsia="Times New Roman" w:hAnsi="Times New Roman" w:cs="Times New Roman"/>
          <w:b/>
          <w:sz w:val="24"/>
          <w:szCs w:val="24"/>
          <w:lang w:eastAsia="uk-UA"/>
        </w:rPr>
        <w:t>».</w:t>
      </w:r>
    </w:p>
    <w:p w14:paraId="28A9A4B6" w14:textId="77777777" w:rsidR="003170E9" w:rsidRPr="003170E9" w:rsidRDefault="003170E9" w:rsidP="003170E9">
      <w:pPr>
        <w:numPr>
          <w:ilvl w:val="0"/>
          <w:numId w:val="38"/>
        </w:numPr>
        <w:spacing w:after="0" w:line="240" w:lineRule="auto"/>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shd w:val="clear" w:color="auto" w:fill="FFFFFF"/>
          <w:lang w:eastAsia="ru-RU"/>
        </w:rPr>
        <w:t>Технічне обслуговування Комплексів здійснюють уповноважені кваліфіковані фахівці (2 людини)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VSSDB.</w:t>
      </w:r>
    </w:p>
    <w:p w14:paraId="0F20B04A" w14:textId="77777777" w:rsidR="003170E9" w:rsidRPr="003170E9" w:rsidRDefault="003170E9" w:rsidP="003170E9">
      <w:pPr>
        <w:numPr>
          <w:ilvl w:val="0"/>
          <w:numId w:val="38"/>
        </w:numPr>
        <w:spacing w:after="0" w:line="240" w:lineRule="auto"/>
        <w:contextualSpacing/>
        <w:jc w:val="both"/>
        <w:rPr>
          <w:rFonts w:ascii="Times New Roman" w:eastAsia="Calibri" w:hAnsi="Times New Roman" w:cs="Times New Roman"/>
          <w:sz w:val="24"/>
          <w:szCs w:val="24"/>
          <w:lang w:eastAsia="ru-RU"/>
        </w:rPr>
      </w:pPr>
      <w:r w:rsidRPr="003170E9">
        <w:rPr>
          <w:rFonts w:ascii="Times New Roman" w:eastAsia="Times New Roman" w:hAnsi="Times New Roman" w:cs="Times New Roman"/>
          <w:sz w:val="24"/>
          <w:szCs w:val="24"/>
          <w:lang w:eastAsia="ru-RU"/>
        </w:rPr>
        <w:t xml:space="preserve">Під час </w:t>
      </w:r>
      <w:r w:rsidRPr="003170E9">
        <w:rPr>
          <w:rFonts w:ascii="Times New Roman" w:eastAsia="Calibri" w:hAnsi="Times New Roman" w:cs="Times New Roman"/>
          <w:sz w:val="24"/>
          <w:szCs w:val="24"/>
          <w:shd w:val="clear" w:color="auto" w:fill="FFFFFF"/>
          <w:lang w:eastAsia="ru-RU"/>
        </w:rPr>
        <w:t>надання послуг з технічної експлуатації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VSSDB, відповідно до технічної та експлуатаційної документації.</w:t>
      </w:r>
    </w:p>
    <w:p w14:paraId="7417B603" w14:textId="77777777" w:rsidR="003170E9" w:rsidRPr="003170E9" w:rsidRDefault="003170E9" w:rsidP="003170E9">
      <w:pPr>
        <w:numPr>
          <w:ilvl w:val="0"/>
          <w:numId w:val="38"/>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170E9">
        <w:rPr>
          <w:rFonts w:ascii="Times New Roman" w:eastAsia="Calibri" w:hAnsi="Times New Roman" w:cs="Times New Roman"/>
          <w:sz w:val="24"/>
          <w:szCs w:val="24"/>
          <w:shd w:val="clear" w:color="auto" w:fill="FFFFFF"/>
          <w:lang w:eastAsia="ru-RU"/>
        </w:rPr>
        <w:t xml:space="preserve">Результати послуг заносяться в журнали технічного стану (формуляр та/або паспорт). </w:t>
      </w:r>
    </w:p>
    <w:p w14:paraId="4CAE7498" w14:textId="77777777" w:rsidR="003170E9" w:rsidRPr="003170E9" w:rsidRDefault="003170E9" w:rsidP="003170E9">
      <w:pPr>
        <w:numPr>
          <w:ilvl w:val="0"/>
          <w:numId w:val="38"/>
        </w:numPr>
        <w:shd w:val="clear" w:color="auto" w:fill="FFFFFF"/>
        <w:spacing w:after="0" w:line="240" w:lineRule="auto"/>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shd w:val="clear" w:color="auto" w:fill="FFFFFF"/>
          <w:lang w:eastAsia="ru-RU"/>
        </w:rPr>
        <w:t xml:space="preserve">По результатам виконаних послуг Виконавцем складається </w:t>
      </w:r>
      <w:r w:rsidRPr="003170E9">
        <w:rPr>
          <w:rFonts w:ascii="Times New Roman" w:eastAsia="Calibri" w:hAnsi="Times New Roman" w:cs="Times New Roman"/>
          <w:b/>
          <w:bCs/>
          <w:sz w:val="24"/>
          <w:szCs w:val="24"/>
          <w:shd w:val="clear" w:color="auto" w:fill="FFFFFF"/>
          <w:lang w:eastAsia="ru-RU"/>
        </w:rPr>
        <w:t>Акт обстеження</w:t>
      </w:r>
      <w:r w:rsidRPr="003170E9">
        <w:rPr>
          <w:rFonts w:ascii="Times New Roman" w:eastAsia="Calibri" w:hAnsi="Times New Roman" w:cs="Times New Roman"/>
          <w:sz w:val="24"/>
          <w:szCs w:val="24"/>
          <w:shd w:val="clear" w:color="auto" w:fill="FFFFFF"/>
          <w:lang w:eastAsia="ru-RU"/>
        </w:rPr>
        <w:t xml:space="preserve"> з інформацією стосовно кожного Комплексу VSSDB:</w:t>
      </w:r>
    </w:p>
    <w:p w14:paraId="5BBBCD73" w14:textId="77777777" w:rsidR="003170E9" w:rsidRPr="003170E9" w:rsidRDefault="003170E9" w:rsidP="003170E9">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r w:rsidRPr="003170E9">
        <w:rPr>
          <w:rFonts w:ascii="Times New Roman" w:eastAsia="Calibri" w:hAnsi="Times New Roman" w:cs="Times New Roman"/>
          <w:sz w:val="24"/>
          <w:szCs w:val="24"/>
          <w:shd w:val="clear" w:color="auto" w:fill="FFFFFF"/>
          <w:lang w:eastAsia="ru-RU"/>
        </w:rPr>
        <w:t xml:space="preserve">- </w:t>
      </w:r>
      <w:r w:rsidRPr="003170E9">
        <w:rPr>
          <w:rFonts w:ascii="Times New Roman" w:eastAsia="Times New Roman" w:hAnsi="Times New Roman" w:cs="Times New Roman"/>
          <w:sz w:val="24"/>
          <w:szCs w:val="24"/>
          <w:lang w:eastAsia="ru-RU"/>
        </w:rPr>
        <w:t>результати технічного обстеження;</w:t>
      </w:r>
    </w:p>
    <w:p w14:paraId="4EC593A3" w14:textId="77777777" w:rsidR="003170E9" w:rsidRPr="003170E9" w:rsidRDefault="003170E9" w:rsidP="003170E9">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r w:rsidRPr="003170E9">
        <w:rPr>
          <w:rFonts w:ascii="Times New Roman" w:eastAsia="Times New Roman" w:hAnsi="Times New Roman" w:cs="Times New Roman"/>
          <w:sz w:val="24"/>
          <w:szCs w:val="24"/>
          <w:lang w:eastAsia="ru-RU"/>
        </w:rPr>
        <w:t>- оцінка технічного стану;</w:t>
      </w:r>
    </w:p>
    <w:p w14:paraId="0CBDAC69" w14:textId="77777777" w:rsidR="003170E9" w:rsidRPr="003170E9" w:rsidRDefault="003170E9" w:rsidP="003170E9">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r w:rsidRPr="003170E9">
        <w:rPr>
          <w:rFonts w:ascii="Times New Roman" w:eastAsia="Times New Roman" w:hAnsi="Times New Roman" w:cs="Times New Roman"/>
          <w:sz w:val="24"/>
          <w:szCs w:val="24"/>
          <w:lang w:eastAsia="ru-RU"/>
        </w:rPr>
        <w:t>- рекомендації щодо подальшої експлуатації, ремонту, реконструкції, відновлення, оновлення, заміни або виведення з експлуатації.</w:t>
      </w:r>
    </w:p>
    <w:p w14:paraId="638BE39A" w14:textId="77777777" w:rsidR="003170E9" w:rsidRPr="003170E9" w:rsidRDefault="003170E9" w:rsidP="003170E9">
      <w:pPr>
        <w:numPr>
          <w:ilvl w:val="0"/>
          <w:numId w:val="38"/>
        </w:numPr>
        <w:spacing w:after="0" w:line="240" w:lineRule="auto"/>
        <w:contextualSpacing/>
        <w:jc w:val="both"/>
        <w:rPr>
          <w:rFonts w:ascii="Times New Roman" w:eastAsia="Calibri" w:hAnsi="Times New Roman" w:cs="Times New Roman"/>
          <w:sz w:val="24"/>
          <w:szCs w:val="24"/>
          <w:lang w:eastAsia="ru-RU"/>
        </w:rPr>
      </w:pPr>
      <w:r w:rsidRPr="003170E9">
        <w:rPr>
          <w:rFonts w:ascii="Times New Roman" w:eastAsia="Calibri" w:hAnsi="Times New Roman" w:cs="Times New Roman"/>
          <w:sz w:val="24"/>
          <w:szCs w:val="24"/>
          <w:shd w:val="clear" w:color="auto" w:fill="FFFFFF"/>
          <w:lang w:eastAsia="ru-RU"/>
        </w:rPr>
        <w:t xml:space="preserve"> Усі послуги з технічної експлуатації виконуються з дотриманням </w:t>
      </w:r>
      <w:hyperlink r:id="rId8" w:tooltip="https://zakon.rada.gov.ua/laws/show/z0093-98" w:history="1">
        <w:r w:rsidRPr="003170E9">
          <w:rPr>
            <w:rFonts w:ascii="Times New Roman" w:eastAsia="Calibri" w:hAnsi="Times New Roman" w:cs="Times New Roman"/>
            <w:sz w:val="24"/>
            <w:szCs w:val="24"/>
            <w:shd w:val="clear" w:color="auto" w:fill="FFFFFF"/>
            <w:lang w:eastAsia="ru-RU"/>
          </w:rPr>
          <w:t>Правил безпечної експлуатації електроустановок споживачів</w:t>
        </w:r>
      </w:hyperlink>
      <w:r w:rsidRPr="003170E9">
        <w:rPr>
          <w:rFonts w:ascii="Times New Roman" w:eastAsia="Calibri" w:hAnsi="Times New Roman" w:cs="Times New Roman"/>
          <w:sz w:val="24"/>
          <w:szCs w:val="24"/>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3170E9">
        <w:rPr>
          <w:rFonts w:ascii="Times New Roman" w:eastAsia="Calibri" w:hAnsi="Times New Roman" w:cs="Times New Roman"/>
          <w:sz w:val="24"/>
          <w:szCs w:val="24"/>
          <w:shd w:val="clear" w:color="auto" w:fill="FFFFFF"/>
          <w:lang w:eastAsia="ru-RU"/>
        </w:rPr>
        <w:br/>
        <w:t>№ 93/2533, </w:t>
      </w:r>
      <w:hyperlink r:id="rId9" w:anchor="_blank" w:tooltip="https://zakon.rada.gov.ua/laws/show/z0252-15#_blank" w:history="1">
        <w:r w:rsidRPr="003170E9">
          <w:rPr>
            <w:rFonts w:ascii="Times New Roman" w:eastAsia="Calibri" w:hAnsi="Times New Roman" w:cs="Times New Roman"/>
            <w:sz w:val="24"/>
            <w:szCs w:val="24"/>
            <w:lang w:eastAsia="ru-RU"/>
          </w:rPr>
          <w:t>Правил пожежної безпеки в Україні</w:t>
        </w:r>
      </w:hyperlink>
      <w:r w:rsidRPr="003170E9">
        <w:rPr>
          <w:rFonts w:ascii="Times New Roman" w:eastAsia="Calibri" w:hAnsi="Times New Roman" w:cs="Times New Roman"/>
          <w:sz w:val="24"/>
          <w:szCs w:val="24"/>
          <w:shd w:val="clear" w:color="auto" w:fill="FFFFFF"/>
          <w:lang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w:t>
      </w:r>
    </w:p>
    <w:p w14:paraId="60C5C174" w14:textId="08A77246" w:rsidR="0086417F" w:rsidRPr="003170E9" w:rsidRDefault="003170E9" w:rsidP="003170E9">
      <w:pPr>
        <w:widowControl w:val="0"/>
        <w:spacing w:after="0" w:line="240" w:lineRule="auto"/>
        <w:ind w:right="-1"/>
        <w:jc w:val="both"/>
        <w:rPr>
          <w:rFonts w:ascii="Times New Roman" w:eastAsia="Calibri" w:hAnsi="Times New Roman" w:cs="Times New Roman"/>
          <w:sz w:val="24"/>
          <w:szCs w:val="24"/>
          <w:shd w:val="clear" w:color="auto" w:fill="FFFFFF"/>
          <w:lang w:eastAsia="ru-RU"/>
        </w:rPr>
      </w:pPr>
      <w:r w:rsidRPr="003170E9">
        <w:rPr>
          <w:rFonts w:ascii="Times New Roman" w:eastAsia="Calibri" w:hAnsi="Times New Roman" w:cs="Times New Roman"/>
          <w:sz w:val="24"/>
          <w:szCs w:val="24"/>
          <w:shd w:val="clear" w:color="auto" w:fill="FFFFFF"/>
          <w:lang w:eastAsia="ru-RU"/>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1FB82231" w14:textId="77777777" w:rsidR="003170E9" w:rsidRPr="00904765" w:rsidRDefault="003170E9" w:rsidP="003170E9">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BCB698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170E9">
        <w:rPr>
          <w:rFonts w:ascii="Times New Roman" w:eastAsia="Times New Roman" w:hAnsi="Times New Roman" w:cs="Times New Roman"/>
          <w:sz w:val="24"/>
          <w:szCs w:val="24"/>
          <w:lang w:eastAsia="ru-RU"/>
        </w:rPr>
        <w:t>5 700 000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170E9">
        <w:rPr>
          <w:rFonts w:ascii="Times New Roman" w:eastAsia="Times New Roman" w:hAnsi="Times New Roman" w:cs="Times New Roman"/>
          <w:sz w:val="24"/>
          <w:szCs w:val="24"/>
          <w:lang w:eastAsia="ru-RU"/>
        </w:rPr>
        <w:t xml:space="preserve">п’ять мільйонів сімсот тисяч </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CBEF" w14:textId="77777777" w:rsidR="00887B29" w:rsidRDefault="00887B29">
      <w:pPr>
        <w:spacing w:after="0" w:line="240" w:lineRule="auto"/>
      </w:pPr>
      <w:r>
        <w:separator/>
      </w:r>
    </w:p>
  </w:endnote>
  <w:endnote w:type="continuationSeparator" w:id="0">
    <w:p w14:paraId="73521553" w14:textId="77777777" w:rsidR="00887B29" w:rsidRDefault="0088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FC68" w14:textId="77777777" w:rsidR="00887B29" w:rsidRDefault="00887B29">
      <w:pPr>
        <w:spacing w:after="0" w:line="240" w:lineRule="auto"/>
      </w:pPr>
      <w:r>
        <w:separator/>
      </w:r>
    </w:p>
  </w:footnote>
  <w:footnote w:type="continuationSeparator" w:id="0">
    <w:p w14:paraId="7267DFD0" w14:textId="77777777" w:rsidR="00887B29" w:rsidRDefault="00887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E71776"/>
    <w:multiLevelType w:val="hybridMultilevel"/>
    <w:tmpl w:val="8F7871AC"/>
    <w:lvl w:ilvl="0" w:tplc="7098EE24">
      <w:start w:val="1"/>
      <w:numFmt w:val="decimal"/>
      <w:lvlText w:val="%1."/>
      <w:lvlJc w:val="left"/>
      <w:pPr>
        <w:ind w:left="720" w:hanging="360"/>
      </w:pPr>
    </w:lvl>
    <w:lvl w:ilvl="1" w:tplc="A36C050C">
      <w:start w:val="1"/>
      <w:numFmt w:val="lowerLetter"/>
      <w:lvlText w:val="%2."/>
      <w:lvlJc w:val="left"/>
      <w:pPr>
        <w:ind w:left="1440" w:hanging="360"/>
      </w:pPr>
    </w:lvl>
    <w:lvl w:ilvl="2" w:tplc="DB3AD026">
      <w:start w:val="1"/>
      <w:numFmt w:val="lowerRoman"/>
      <w:lvlText w:val="%3."/>
      <w:lvlJc w:val="right"/>
      <w:pPr>
        <w:ind w:left="2160" w:hanging="180"/>
      </w:pPr>
    </w:lvl>
    <w:lvl w:ilvl="3" w:tplc="B726AF00">
      <w:start w:val="1"/>
      <w:numFmt w:val="decimal"/>
      <w:lvlText w:val="%4."/>
      <w:lvlJc w:val="left"/>
      <w:pPr>
        <w:ind w:left="2880" w:hanging="360"/>
      </w:pPr>
    </w:lvl>
    <w:lvl w:ilvl="4" w:tplc="269EC00E">
      <w:start w:val="1"/>
      <w:numFmt w:val="lowerLetter"/>
      <w:lvlText w:val="%5."/>
      <w:lvlJc w:val="left"/>
      <w:pPr>
        <w:ind w:left="3600" w:hanging="360"/>
      </w:pPr>
    </w:lvl>
    <w:lvl w:ilvl="5" w:tplc="653886C2">
      <w:start w:val="1"/>
      <w:numFmt w:val="lowerRoman"/>
      <w:lvlText w:val="%6."/>
      <w:lvlJc w:val="right"/>
      <w:pPr>
        <w:ind w:left="4320" w:hanging="180"/>
      </w:pPr>
    </w:lvl>
    <w:lvl w:ilvl="6" w:tplc="5F885D48">
      <w:start w:val="1"/>
      <w:numFmt w:val="decimal"/>
      <w:lvlText w:val="%7."/>
      <w:lvlJc w:val="left"/>
      <w:pPr>
        <w:ind w:left="5040" w:hanging="360"/>
      </w:pPr>
    </w:lvl>
    <w:lvl w:ilvl="7" w:tplc="F67CA6D6">
      <w:start w:val="1"/>
      <w:numFmt w:val="lowerLetter"/>
      <w:lvlText w:val="%8."/>
      <w:lvlJc w:val="left"/>
      <w:pPr>
        <w:ind w:left="5760" w:hanging="360"/>
      </w:pPr>
    </w:lvl>
    <w:lvl w:ilvl="8" w:tplc="F59E5928">
      <w:start w:val="1"/>
      <w:numFmt w:val="lowerRoman"/>
      <w:lvlText w:val="%9."/>
      <w:lvlJc w:val="right"/>
      <w:pPr>
        <w:ind w:left="6480" w:hanging="180"/>
      </w:p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C7879A2"/>
    <w:multiLevelType w:val="hybridMultilevel"/>
    <w:tmpl w:val="2D52301A"/>
    <w:lvl w:ilvl="0" w:tplc="D4DC8C62">
      <w:start w:val="1"/>
      <w:numFmt w:val="decimal"/>
      <w:lvlText w:val="%1."/>
      <w:lvlJc w:val="left"/>
      <w:pPr>
        <w:ind w:left="720" w:hanging="360"/>
      </w:pPr>
      <w:rPr>
        <w:sz w:val="24"/>
        <w:szCs w:val="24"/>
      </w:rPr>
    </w:lvl>
    <w:lvl w:ilvl="1" w:tplc="0BBEC7DA">
      <w:start w:val="1"/>
      <w:numFmt w:val="lowerLetter"/>
      <w:lvlText w:val="%2."/>
      <w:lvlJc w:val="left"/>
      <w:pPr>
        <w:ind w:left="1440" w:hanging="360"/>
      </w:pPr>
    </w:lvl>
    <w:lvl w:ilvl="2" w:tplc="AAFC0CFE">
      <w:start w:val="1"/>
      <w:numFmt w:val="lowerRoman"/>
      <w:lvlText w:val="%3."/>
      <w:lvlJc w:val="right"/>
      <w:pPr>
        <w:ind w:left="2160" w:hanging="180"/>
      </w:pPr>
    </w:lvl>
    <w:lvl w:ilvl="3" w:tplc="D59C4FC4">
      <w:start w:val="1"/>
      <w:numFmt w:val="decimal"/>
      <w:lvlText w:val="%4."/>
      <w:lvlJc w:val="left"/>
      <w:pPr>
        <w:ind w:left="2880" w:hanging="360"/>
      </w:pPr>
    </w:lvl>
    <w:lvl w:ilvl="4" w:tplc="8FBC850A">
      <w:start w:val="1"/>
      <w:numFmt w:val="lowerLetter"/>
      <w:lvlText w:val="%5."/>
      <w:lvlJc w:val="left"/>
      <w:pPr>
        <w:ind w:left="3600" w:hanging="360"/>
      </w:pPr>
    </w:lvl>
    <w:lvl w:ilvl="5" w:tplc="417EF1FA">
      <w:start w:val="1"/>
      <w:numFmt w:val="lowerRoman"/>
      <w:lvlText w:val="%6."/>
      <w:lvlJc w:val="right"/>
      <w:pPr>
        <w:ind w:left="4320" w:hanging="180"/>
      </w:pPr>
    </w:lvl>
    <w:lvl w:ilvl="6" w:tplc="C248C024">
      <w:start w:val="1"/>
      <w:numFmt w:val="decimal"/>
      <w:lvlText w:val="%7."/>
      <w:lvlJc w:val="left"/>
      <w:pPr>
        <w:ind w:left="5040" w:hanging="360"/>
      </w:pPr>
    </w:lvl>
    <w:lvl w:ilvl="7" w:tplc="A956BDC0">
      <w:start w:val="1"/>
      <w:numFmt w:val="lowerLetter"/>
      <w:lvlText w:val="%8."/>
      <w:lvlJc w:val="left"/>
      <w:pPr>
        <w:ind w:left="5760" w:hanging="360"/>
      </w:pPr>
    </w:lvl>
    <w:lvl w:ilvl="8" w:tplc="EE0E3B2E">
      <w:start w:val="1"/>
      <w:numFmt w:val="lowerRoman"/>
      <w:lvlText w:val="%9."/>
      <w:lvlJc w:val="right"/>
      <w:pPr>
        <w:ind w:left="648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AD36D03"/>
    <w:multiLevelType w:val="hybridMultilevel"/>
    <w:tmpl w:val="BF4ECC56"/>
    <w:lvl w:ilvl="0" w:tplc="B7500570">
      <w:start w:val="1"/>
      <w:numFmt w:val="decimal"/>
      <w:lvlText w:val="%1."/>
      <w:lvlJc w:val="left"/>
      <w:pPr>
        <w:ind w:left="524" w:hanging="360"/>
      </w:pPr>
      <w:rPr>
        <w:rFonts w:hint="default"/>
        <w:b w:val="0"/>
      </w:rPr>
    </w:lvl>
    <w:lvl w:ilvl="1" w:tplc="D8B8B940">
      <w:start w:val="1"/>
      <w:numFmt w:val="lowerLetter"/>
      <w:lvlText w:val="%2."/>
      <w:lvlJc w:val="left"/>
      <w:pPr>
        <w:ind w:left="1244" w:hanging="360"/>
      </w:pPr>
    </w:lvl>
    <w:lvl w:ilvl="2" w:tplc="4CAE0634">
      <w:start w:val="1"/>
      <w:numFmt w:val="lowerRoman"/>
      <w:lvlText w:val="%3."/>
      <w:lvlJc w:val="right"/>
      <w:pPr>
        <w:ind w:left="1964" w:hanging="180"/>
      </w:pPr>
    </w:lvl>
    <w:lvl w:ilvl="3" w:tplc="7BF87424">
      <w:start w:val="1"/>
      <w:numFmt w:val="decimal"/>
      <w:lvlText w:val="%4."/>
      <w:lvlJc w:val="left"/>
      <w:pPr>
        <w:ind w:left="2684" w:hanging="360"/>
      </w:pPr>
    </w:lvl>
    <w:lvl w:ilvl="4" w:tplc="1458E976">
      <w:start w:val="1"/>
      <w:numFmt w:val="lowerLetter"/>
      <w:lvlText w:val="%5."/>
      <w:lvlJc w:val="left"/>
      <w:pPr>
        <w:ind w:left="3404" w:hanging="360"/>
      </w:pPr>
    </w:lvl>
    <w:lvl w:ilvl="5" w:tplc="FC0633FC">
      <w:start w:val="1"/>
      <w:numFmt w:val="lowerRoman"/>
      <w:lvlText w:val="%6."/>
      <w:lvlJc w:val="right"/>
      <w:pPr>
        <w:ind w:left="4124" w:hanging="180"/>
      </w:pPr>
    </w:lvl>
    <w:lvl w:ilvl="6" w:tplc="BD420FE8">
      <w:start w:val="1"/>
      <w:numFmt w:val="decimal"/>
      <w:lvlText w:val="%7."/>
      <w:lvlJc w:val="left"/>
      <w:pPr>
        <w:ind w:left="4844" w:hanging="360"/>
      </w:pPr>
    </w:lvl>
    <w:lvl w:ilvl="7" w:tplc="760AE882">
      <w:start w:val="1"/>
      <w:numFmt w:val="lowerLetter"/>
      <w:lvlText w:val="%8."/>
      <w:lvlJc w:val="left"/>
      <w:pPr>
        <w:ind w:left="5564" w:hanging="360"/>
      </w:pPr>
    </w:lvl>
    <w:lvl w:ilvl="8" w:tplc="7076E430">
      <w:start w:val="1"/>
      <w:numFmt w:val="lowerRoman"/>
      <w:lvlText w:val="%9."/>
      <w:lvlJc w:val="right"/>
      <w:pPr>
        <w:ind w:left="6284" w:hanging="180"/>
      </w:p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6"/>
  </w:num>
  <w:num w:numId="3" w16cid:durableId="556090777">
    <w:abstractNumId w:val="18"/>
  </w:num>
  <w:num w:numId="4" w16cid:durableId="1865628638">
    <w:abstractNumId w:val="24"/>
  </w:num>
  <w:num w:numId="5" w16cid:durableId="522862248">
    <w:abstractNumId w:val="30"/>
  </w:num>
  <w:num w:numId="6" w16cid:durableId="1128400551">
    <w:abstractNumId w:val="13"/>
  </w:num>
  <w:num w:numId="7" w16cid:durableId="1549879148">
    <w:abstractNumId w:val="21"/>
  </w:num>
  <w:num w:numId="8" w16cid:durableId="537087471">
    <w:abstractNumId w:val="29"/>
  </w:num>
  <w:num w:numId="9" w16cid:durableId="632519650">
    <w:abstractNumId w:val="38"/>
  </w:num>
  <w:num w:numId="10" w16cid:durableId="713892545">
    <w:abstractNumId w:val="33"/>
  </w:num>
  <w:num w:numId="11" w16cid:durableId="2031645203">
    <w:abstractNumId w:val="12"/>
  </w:num>
  <w:num w:numId="12" w16cid:durableId="1392928292">
    <w:abstractNumId w:val="16"/>
  </w:num>
  <w:num w:numId="13" w16cid:durableId="502626488">
    <w:abstractNumId w:val="35"/>
  </w:num>
  <w:num w:numId="14" w16cid:durableId="1996909732">
    <w:abstractNumId w:val="32"/>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8"/>
  </w:num>
  <w:num w:numId="29" w16cid:durableId="1303923221">
    <w:abstractNumId w:val="10"/>
  </w:num>
  <w:num w:numId="30" w16cid:durableId="563369717">
    <w:abstractNumId w:val="7"/>
  </w:num>
  <w:num w:numId="31" w16cid:durableId="1640304287">
    <w:abstractNumId w:val="25"/>
  </w:num>
  <w:num w:numId="32" w16cid:durableId="992947525">
    <w:abstractNumId w:val="31"/>
  </w:num>
  <w:num w:numId="33" w16cid:durableId="517935318">
    <w:abstractNumId w:val="19"/>
  </w:num>
  <w:num w:numId="34" w16cid:durableId="165441230">
    <w:abstractNumId w:val="11"/>
  </w:num>
  <w:num w:numId="35" w16cid:durableId="2119257652">
    <w:abstractNumId w:val="37"/>
  </w:num>
  <w:num w:numId="36" w16cid:durableId="1737513576">
    <w:abstractNumId w:val="27"/>
  </w:num>
  <w:num w:numId="37" w16cid:durableId="2131364116">
    <w:abstractNumId w:val="8"/>
  </w:num>
  <w:num w:numId="38" w16cid:durableId="1112633267">
    <w:abstractNumId w:val="22"/>
  </w:num>
  <w:num w:numId="39" w16cid:durableId="1116753442">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0E9"/>
    <w:rsid w:val="00317AB4"/>
    <w:rsid w:val="00330018"/>
    <w:rsid w:val="003444E9"/>
    <w:rsid w:val="00362DEB"/>
    <w:rsid w:val="00372714"/>
    <w:rsid w:val="003819AD"/>
    <w:rsid w:val="00381FCE"/>
    <w:rsid w:val="004037B3"/>
    <w:rsid w:val="00407472"/>
    <w:rsid w:val="00431467"/>
    <w:rsid w:val="00461C1C"/>
    <w:rsid w:val="004675A8"/>
    <w:rsid w:val="0048602D"/>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87B29"/>
    <w:rsid w:val="008909A3"/>
    <w:rsid w:val="008D4BA3"/>
    <w:rsid w:val="008F6ABC"/>
    <w:rsid w:val="00904765"/>
    <w:rsid w:val="00920A2E"/>
    <w:rsid w:val="00926A29"/>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170E9"/>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qFormat/>
    <w:rsid w:val="003170E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1653</Words>
  <Characters>11803</Characters>
  <Application>Microsoft Office Word</Application>
  <DocSecurity>0</DocSecurity>
  <Lines>368</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