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акумуляторного ручного бездротового </w:t>
      </w:r>
      <w:r>
        <w:rPr>
          <w:b w:val="0"/>
          <w:bCs w:val="0"/>
          <w:sz w:val="24"/>
          <w:szCs w:val="24"/>
        </w:rPr>
        <w:t xml:space="preserve">пилосмока</w:t>
      </w:r>
      <w:r>
        <w:rPr>
          <w:b w:val="0"/>
          <w:bCs w:val="0"/>
          <w:sz w:val="24"/>
          <w:szCs w:val="24"/>
        </w:rPr>
        <w:t xml:space="preserve"> за ДК 021:2015: 39710000-2 Електричні побутові прилади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004924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акумуляторного ручного бездротового </w:t>
      </w:r>
      <w:r>
        <w:rPr>
          <w:rFonts w:ascii="Times New Roman" w:hAnsi="Times New Roman" w:cs="Times New Roman"/>
          <w:sz w:val="24"/>
          <w:szCs w:val="24"/>
        </w:rPr>
        <w:t xml:space="preserve">пилосмока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9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4"/>
              <w:rPr>
                <w:b/>
                <w:bCs/>
              </w:rPr>
            </w:pPr>
            <w:r>
              <w:rPr>
                <w:rStyle w:val="713"/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718"/>
                <w:b/>
                <w:bCs/>
                <w:color w:val="000000"/>
                <w:shd w:val="clear" w:color="auto" w:fill="ffffff"/>
              </w:rPr>
              <w:t xml:space="preserve">Акумуляторний ручний бездротовий пилосмок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</w:pPr>
            <w: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</w:pPr>
            <w:r>
              <w:t xml:space="preserve">3</w:t>
            </w:r>
            <w:r/>
          </w:p>
        </w:tc>
      </w:tr>
    </w:tbl>
    <w:p>
      <w:pPr>
        <w:pStyle w:val="694"/>
        <w:jc w:val="both"/>
        <w:spacing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9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СПЕЦИФІКАЦІЯ:</w:t>
      </w:r>
      <w:r/>
    </w:p>
    <w:p>
      <w:pPr>
        <w:pStyle w:val="69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pStyle w:val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7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18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Акумуляторний ручний бездротовий пилосмок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pStyle w:val="7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126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Тип: </w:t>
            </w:r>
            <w:hyperlink r:id="rId11" w:tooltip="https://www.foxtrot.com.ua/uk/shop/pylesosy_ruchnoj.html" w:history="1">
              <w:r>
                <w:rPr>
                  <w:rStyle w:val="699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ручний;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</w:t>
            </w:r>
            <w:hyperlink r:id="rId12" w:tooltip="https://www.foxtrot.com.ua/uk/shop/pylesosy_akkumulyatorniy.html" w:history="1">
              <w:r>
                <w:rPr>
                  <w:rStyle w:val="699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акумуляторний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прибирання: </w:t>
            </w:r>
            <w:hyperlink r:id="rId13" w:tooltip="https://www.foxtrot.com.ua/uk/shop/pylesosy_dlya-sukhoy-uborki.html" w:history="1">
              <w:r>
                <w:rPr>
                  <w:rStyle w:val="699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сухе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Потужність, що споживається: не менше 410 Вт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Потужність всмоктування: не менше 150 Вт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Місткість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пилозбірника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не менше 0.8 л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Насадки і щітки: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щілинна,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турбощітка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Особливості: вертикальна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парковка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, 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турборежимом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Автономна робота: не менше 40 хв.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Тривалість заряджання: не більше 3,5 год</w:t>
            </w:r>
            <w:r/>
          </w:p>
          <w:p>
            <w:pPr>
              <w:pStyle w:val="717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Додаткові особливості: </w:t>
            </w:r>
            <w:r/>
          </w:p>
          <w:p>
            <w:pPr>
              <w:pStyle w:val="717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719"/>
                <w:lang w:eastAsia="en-US"/>
              </w:rPr>
              <w:t xml:space="preserve">Удосконалена технологія збирання</w:t>
            </w:r>
            <w:r>
              <w:rPr>
                <w:lang w:eastAsia="en-US"/>
              </w:rPr>
              <w:br/>
            </w:r>
            <w:r>
              <w:rPr>
                <w:rStyle w:val="719"/>
                <w:lang w:eastAsia="en-US"/>
              </w:rPr>
              <w:t xml:space="preserve">Інверторний</w:t>
            </w:r>
            <w:r>
              <w:rPr>
                <w:rStyle w:val="719"/>
                <w:lang w:eastAsia="en-US"/>
              </w:rPr>
              <w:t xml:space="preserve"> мотор</w:t>
            </w:r>
            <w:r>
              <w:rPr>
                <w:lang w:eastAsia="en-US"/>
              </w:rPr>
              <w:br/>
            </w:r>
            <w:r>
              <w:rPr>
                <w:rStyle w:val="719"/>
                <w:lang w:eastAsia="en-US"/>
              </w:rPr>
              <w:t xml:space="preserve">Циклонний фільтр </w:t>
            </w:r>
            <w:r>
              <w:rPr>
                <w:rStyle w:val="719"/>
                <w:lang w:eastAsia="en-US"/>
              </w:rPr>
              <w:t xml:space="preserve">Jet</w:t>
            </w:r>
            <w:r>
              <w:rPr>
                <w:rStyle w:val="719"/>
                <w:lang w:eastAsia="en-US"/>
              </w:rPr>
              <w:t xml:space="preserve"> </w:t>
            </w:r>
            <w:r>
              <w:rPr>
                <w:rStyle w:val="719"/>
                <w:lang w:eastAsia="en-US"/>
              </w:rPr>
              <w:t xml:space="preserve">Cyclone</w:t>
            </w:r>
            <w:r>
              <w:rPr>
                <w:lang w:eastAsia="en-US"/>
              </w:rPr>
              <w:br/>
            </w:r>
            <w:r>
              <w:rPr>
                <w:rStyle w:val="719"/>
                <w:lang w:eastAsia="en-US"/>
              </w:rPr>
              <w:t xml:space="preserve">Насадка </w:t>
            </w:r>
            <w:r>
              <w:rPr>
                <w:rStyle w:val="719"/>
                <w:lang w:eastAsia="en-US"/>
              </w:rPr>
              <w:t xml:space="preserve">Turbo</w:t>
            </w:r>
            <w:r>
              <w:rPr>
                <w:rStyle w:val="719"/>
                <w:lang w:eastAsia="en-US"/>
              </w:rPr>
              <w:t xml:space="preserve"> </w:t>
            </w:r>
            <w:r>
              <w:rPr>
                <w:rStyle w:val="719"/>
                <w:lang w:eastAsia="en-US"/>
              </w:rPr>
              <w:t xml:space="preserve">action</w:t>
            </w:r>
            <w:r>
              <w:rPr>
                <w:rStyle w:val="719"/>
                <w:lang w:eastAsia="en-US"/>
              </w:rPr>
              <w:t xml:space="preserve"> </w:t>
            </w:r>
            <w:r>
              <w:rPr>
                <w:rStyle w:val="719"/>
                <w:lang w:eastAsia="en-US"/>
              </w:rPr>
              <w:t xml:space="preserve">brush</w:t>
            </w:r>
            <w:r>
              <w:rPr>
                <w:lang w:eastAsia="en-US"/>
              </w:rPr>
              <w:br/>
            </w:r>
            <w:r>
              <w:rPr>
                <w:rStyle w:val="719"/>
                <w:lang w:eastAsia="en-US"/>
              </w:rPr>
              <w:t xml:space="preserve">5-ступенева система фільтрації HEPA</w:t>
            </w:r>
            <w:r>
              <w:rPr>
                <w:lang w:eastAsia="en-US"/>
              </w:rPr>
              <w:br/>
            </w:r>
            <w:r>
              <w:rPr>
                <w:rStyle w:val="719"/>
                <w:lang w:eastAsia="en-US"/>
              </w:rPr>
              <w:t xml:space="preserve">Довговічний змінний акумулятор</w:t>
            </w:r>
            <w:r>
              <w:rPr>
                <w:lang w:eastAsia="en-US"/>
              </w:rPr>
              <w:br/>
            </w:r>
            <w:r>
              <w:rPr>
                <w:rStyle w:val="719"/>
                <w:lang w:eastAsia="en-US"/>
              </w:rPr>
              <w:t xml:space="preserve">Цифровий дисплей</w:t>
            </w:r>
            <w:r>
              <w:rPr>
                <w:lang w:eastAsia="en-US"/>
              </w:rPr>
              <w:br/>
            </w:r>
            <w:r>
              <w:rPr>
                <w:rStyle w:val="719"/>
                <w:lang w:eastAsia="en-US"/>
              </w:rPr>
              <w:t xml:space="preserve">Зарядна станція 2-в-1</w:t>
            </w:r>
            <w:r>
              <w:rPr>
                <w:lang w:eastAsia="en-US"/>
              </w:rPr>
              <w:br/>
            </w:r>
            <w:r>
              <w:rPr>
                <w:rStyle w:val="719"/>
                <w:lang w:eastAsia="en-US"/>
              </w:rPr>
              <w:t xml:space="preserve">Контейнер, який повністю миється</w:t>
            </w:r>
            <w:r>
              <w:rPr>
                <w:lang w:eastAsia="en-US"/>
              </w:rPr>
              <w:br/>
            </w:r>
            <w:r>
              <w:rPr>
                <w:rStyle w:val="719"/>
                <w:lang w:eastAsia="en-US"/>
              </w:rPr>
              <w:t xml:space="preserve">Щітка </w:t>
            </w:r>
            <w:r>
              <w:rPr>
                <w:rStyle w:val="719"/>
                <w:lang w:eastAsia="en-US"/>
              </w:rPr>
              <w:t xml:space="preserve">Soft</w:t>
            </w:r>
            <w:r>
              <w:rPr>
                <w:rStyle w:val="719"/>
                <w:lang w:eastAsia="en-US"/>
              </w:rPr>
              <w:t xml:space="preserve"> </w:t>
            </w:r>
            <w:r>
              <w:rPr>
                <w:rStyle w:val="719"/>
                <w:lang w:eastAsia="en-US"/>
              </w:rPr>
              <w:t xml:space="preserve">Action</w:t>
            </w:r>
            <w:r/>
          </w:p>
        </w:tc>
      </w:tr>
    </w:tbl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40 497,00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дев’яносто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6"/>
  </w:num>
  <w:num w:numId="7">
    <w:abstractNumId w:val="8"/>
  </w:num>
  <w:num w:numId="8">
    <w:abstractNumId w:val="18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1"/>
  </w:num>
  <w:num w:numId="18">
    <w:abstractNumId w:val="1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5"/>
    <w:next w:val="68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7"/>
    <w:link w:val="68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5"/>
    <w:next w:val="68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5"/>
    <w:next w:val="68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5"/>
    <w:next w:val="68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5"/>
    <w:next w:val="68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5"/>
    <w:next w:val="68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5"/>
    <w:next w:val="68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5"/>
    <w:next w:val="68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5"/>
    <w:next w:val="68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7"/>
    <w:link w:val="33"/>
    <w:uiPriority w:val="10"/>
    <w:rPr>
      <w:sz w:val="48"/>
      <w:szCs w:val="48"/>
    </w:rPr>
  </w:style>
  <w:style w:type="paragraph" w:styleId="35">
    <w:name w:val="Subtitle"/>
    <w:basedOn w:val="685"/>
    <w:next w:val="68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7"/>
    <w:link w:val="35"/>
    <w:uiPriority w:val="11"/>
    <w:rPr>
      <w:sz w:val="24"/>
      <w:szCs w:val="24"/>
    </w:rPr>
  </w:style>
  <w:style w:type="paragraph" w:styleId="37">
    <w:name w:val="Quote"/>
    <w:basedOn w:val="685"/>
    <w:next w:val="68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5"/>
    <w:next w:val="68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7"/>
    <w:link w:val="41"/>
    <w:uiPriority w:val="99"/>
  </w:style>
  <w:style w:type="character" w:styleId="44">
    <w:name w:val="Footer Char"/>
    <w:basedOn w:val="687"/>
    <w:link w:val="696"/>
    <w:uiPriority w:val="99"/>
  </w:style>
  <w:style w:type="paragraph" w:styleId="45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6"/>
    <w:uiPriority w:val="99"/>
  </w:style>
  <w:style w:type="table" w:styleId="48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7"/>
    <w:uiPriority w:val="99"/>
    <w:unhideWhenUsed/>
    <w:rPr>
      <w:vertAlign w:val="superscript"/>
    </w:rPr>
  </w:style>
  <w:style w:type="paragraph" w:styleId="177">
    <w:name w:val="endnote text"/>
    <w:basedOn w:val="68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80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rPr>
      <w:lang w:val="uk-UA"/>
    </w:rPr>
  </w:style>
  <w:style w:type="paragraph" w:styleId="686">
    <w:name w:val="Heading 2"/>
    <w:basedOn w:val="685"/>
    <w:link w:val="70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85"/>
    <w:link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1" w:customStyle="1">
    <w:name w:val="Абзац списку Знак"/>
    <w:link w:val="690"/>
    <w:uiPriority w:val="34"/>
    <w:rPr>
      <w:rFonts w:ascii="Calibri" w:hAnsi="Calibri" w:eastAsia="Calibri" w:cs="Calibri"/>
      <w:lang w:eastAsia="zh-CN"/>
    </w:rPr>
  </w:style>
  <w:style w:type="table" w:styleId="692">
    <w:name w:val="Table Grid"/>
    <w:basedOn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Сетка таблицы2"/>
    <w:basedOn w:val="688"/>
    <w:next w:val="69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Normal (Web)"/>
    <w:basedOn w:val="685"/>
    <w:link w:val="701"/>
    <w:unhideWhenUsed/>
    <w:qFormat/>
    <w:rPr>
      <w:rFonts w:ascii="Times New Roman" w:hAnsi="Times New Roman" w:cs="Times New Roman"/>
      <w:sz w:val="24"/>
      <w:szCs w:val="24"/>
    </w:rPr>
  </w:style>
  <w:style w:type="table" w:styleId="695" w:customStyle="1">
    <w:name w:val="Сетка таблицы1"/>
    <w:basedOn w:val="688"/>
    <w:next w:val="69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Footer"/>
    <w:basedOn w:val="685"/>
    <w:link w:val="69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7" w:customStyle="1">
    <w:name w:val="Нижній колонтитул Знак"/>
    <w:basedOn w:val="687"/>
    <w:link w:val="696"/>
    <w:uiPriority w:val="99"/>
    <w:rPr>
      <w:rFonts w:ascii="Calibri" w:hAnsi="Calibri" w:eastAsia="Calibri" w:cs="Calibri"/>
      <w:lang w:eastAsia="zh-CN"/>
    </w:rPr>
  </w:style>
  <w:style w:type="paragraph" w:styleId="69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9">
    <w:name w:val="Hyperlink"/>
    <w:basedOn w:val="687"/>
    <w:uiPriority w:val="99"/>
    <w:unhideWhenUsed/>
    <w:rPr>
      <w:color w:val="0563c1" w:themeColor="hyperlink"/>
      <w:u w:val="single"/>
    </w:rPr>
  </w:style>
  <w:style w:type="character" w:styleId="700" w:customStyle="1">
    <w:name w:val="xfm_93972720"/>
    <w:basedOn w:val="687"/>
  </w:style>
  <w:style w:type="character" w:styleId="701" w:customStyle="1">
    <w:name w:val="Звичайний (веб) Знак"/>
    <w:link w:val="694"/>
    <w:qFormat/>
    <w:rPr>
      <w:rFonts w:ascii="Times New Roman" w:hAnsi="Times New Roman" w:cs="Times New Roman"/>
      <w:sz w:val="24"/>
      <w:szCs w:val="24"/>
      <w:lang w:val="uk-UA"/>
    </w:rPr>
  </w:style>
  <w:style w:type="paragraph" w:styleId="702">
    <w:name w:val="Body Text 2"/>
    <w:basedOn w:val="685"/>
    <w:link w:val="70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3" w:customStyle="1">
    <w:name w:val="Основний текст 2 Знак"/>
    <w:basedOn w:val="687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5" w:customStyle="1">
    <w:name w:val="Заголовок 2 Знак"/>
    <w:basedOn w:val="687"/>
    <w:link w:val="68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6">
    <w:name w:val="No Spacing"/>
    <w:link w:val="70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7" w:customStyle="1">
    <w:name w:val="Без інтервалів Знак"/>
    <w:basedOn w:val="687"/>
    <w:link w:val="706"/>
    <w:uiPriority w:val="1"/>
    <w:rPr>
      <w:rFonts w:ascii="Calibri" w:hAnsi="Calibri" w:eastAsia="Calibri" w:cs="Times New Roman"/>
      <w:lang w:val="uk-UA"/>
    </w:rPr>
  </w:style>
  <w:style w:type="character" w:styleId="708" w:customStyle="1">
    <w:name w:val="Другое_"/>
    <w:basedOn w:val="687"/>
    <w:link w:val="709"/>
    <w:rPr>
      <w:rFonts w:ascii="Calibri" w:hAnsi="Calibri" w:eastAsia="Calibri" w:cs="Calibri"/>
      <w:sz w:val="20"/>
      <w:szCs w:val="20"/>
    </w:rPr>
  </w:style>
  <w:style w:type="paragraph" w:styleId="709" w:customStyle="1">
    <w:name w:val="Другое"/>
    <w:basedOn w:val="685"/>
    <w:link w:val="708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1" w:customStyle="1">
    <w:name w:val="Основной текст (2)_"/>
    <w:basedOn w:val="687"/>
    <w:link w:val="712"/>
    <w:rPr>
      <w:rFonts w:eastAsia="Times New Roman" w:cs="Times New Roman"/>
      <w:shd w:val="clear" w:color="auto" w:fill="ffffff"/>
    </w:rPr>
  </w:style>
  <w:style w:type="paragraph" w:styleId="712" w:customStyle="1">
    <w:name w:val="Основной текст (2)"/>
    <w:basedOn w:val="685"/>
    <w:link w:val="71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3" w:customStyle="1">
    <w:name w:val="Текст у виносці Знак"/>
    <w:basedOn w:val="687"/>
    <w:link w:val="71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4">
    <w:name w:val="Balloon Text"/>
    <w:basedOn w:val="685"/>
    <w:link w:val="71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5" w:customStyle="1">
    <w:name w:val="Текст у виносці Знак1"/>
    <w:basedOn w:val="68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6" w:customStyle="1">
    <w:name w:val="T23"/>
    <w:rPr>
      <w:rFonts w:hint="default" w:ascii="Times New Roman" w:hAnsi="Times New Roman" w:eastAsia="Times New Roman1" w:cs="Times New Roman"/>
    </w:rPr>
  </w:style>
  <w:style w:type="paragraph" w:styleId="717" w:customStyle="1">
    <w:name w:val="ng-star-inserted"/>
    <w:basedOn w:val="68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18" w:customStyle="1">
    <w:name w:val="docdata"/>
    <w:basedOn w:val="687"/>
  </w:style>
  <w:style w:type="character" w:styleId="719" w:customStyle="1">
    <w:name w:val="ng-star-inserted1"/>
    <w:basedOn w:val="68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foxtrot.com.ua/uk/shop/pylesosy_ruchnoj.html" TargetMode="External"/><Relationship Id="rId12" Type="http://schemas.openxmlformats.org/officeDocument/2006/relationships/hyperlink" Target="https://www.foxtrot.com.ua/uk/shop/pylesosy_akkumulyatorniy.html" TargetMode="External"/><Relationship Id="rId13" Type="http://schemas.openxmlformats.org/officeDocument/2006/relationships/hyperlink" Target="https://www.foxtrot.com.ua/uk/shop/pylesosy_dlya-sukhoy-uborki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132</cp:revision>
  <dcterms:created xsi:type="dcterms:W3CDTF">2022-11-01T12:47:00Z</dcterms:created>
  <dcterms:modified xsi:type="dcterms:W3CDTF">2023-07-27T07:25:13Z</dcterms:modified>
</cp:coreProperties>
</file>