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9"/>
        <w:ind w:left="0"/>
        <w:rPr>
          <w:rFonts w:ascii="Times New Roman" w:hAnsi="Times New Roman"/>
          <w:bCs/>
          <w:color w:val="000000" w:themeColor="text1"/>
          <w:sz w:val="24"/>
          <w:szCs w:val="24"/>
          <w:shd w:val="clear" w:color="auto" w:fill="ffffff"/>
        </w:rPr>
      </w:pPr>
      <w:r>
        <w:rPr>
          <w:rFonts w:ascii="Times New Roman" w:hAnsi="Times New Roman"/>
          <w:b/>
          <w:sz w:val="24"/>
          <w:szCs w:val="24"/>
        </w:rPr>
        <w:t xml:space="preserve">2. Назва предм</w:t>
      </w:r>
      <w:r>
        <w:rPr>
          <w:rFonts w:ascii="Times New Roman" w:hAnsi="Times New Roman"/>
          <w:b/>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color w:val="000000"/>
          <w:sz w:val="24"/>
          <w:szCs w:val="24"/>
        </w:rPr>
        <w:t xml:space="preserve">Закупівля системи охоронного контролю доступу та системи охоронної сигналізації зі встановленням за ДК 021:2015: 35120000-1 Системи та пристрої нагляду та охорони</w:t>
      </w: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011515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  </w:t>
      </w:r>
      <w:r>
        <w:rPr>
          <w:rFonts w:ascii="Times New Roman" w:hAnsi="Times New Roman"/>
          <w:color w:val="000000"/>
          <w:sz w:val="24"/>
          <w:szCs w:val="24"/>
        </w:rPr>
        <w:t xml:space="preserve">Закупівля системи охоронного контролю доступу та системи охоронної сигналізації зі встановленням</w:t>
      </w:r>
      <w:r/>
    </w:p>
    <w:p>
      <w:pPr>
        <w:ind w:right="-1"/>
        <w:jc w:val="both"/>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73"/>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5"/>
              <w:jc w:val="center"/>
              <w:rPr>
                <w:b/>
                <w:bCs/>
              </w:rPr>
            </w:pPr>
            <w:r>
              <w:rPr>
                <w:b/>
                <w:bCs/>
              </w:rPr>
              <w:t xml:space="preserve">№ п/п</w:t>
            </w:r>
            <w:r/>
          </w:p>
        </w:tc>
        <w:tc>
          <w:tcPr>
            <w:tcW w:w="5670" w:type="dxa"/>
            <w:textDirection w:val="lrTb"/>
            <w:noWrap w:val="false"/>
          </w:tcPr>
          <w:p>
            <w:pPr>
              <w:pStyle w:val="675"/>
              <w:jc w:val="center"/>
              <w:rPr>
                <w:b/>
                <w:bCs/>
              </w:rPr>
            </w:pPr>
            <w:r>
              <w:rPr>
                <w:b/>
                <w:bCs/>
              </w:rPr>
              <w:t xml:space="preserve">Назва системи</w:t>
            </w:r>
            <w:r/>
          </w:p>
        </w:tc>
        <w:tc>
          <w:tcPr>
            <w:tcW w:w="1701" w:type="dxa"/>
            <w:textDirection w:val="lrTb"/>
            <w:noWrap w:val="false"/>
          </w:tcPr>
          <w:p>
            <w:pPr>
              <w:pStyle w:val="675"/>
              <w:jc w:val="center"/>
              <w:rPr>
                <w:b/>
                <w:bCs/>
              </w:rPr>
            </w:pPr>
            <w:r>
              <w:rPr>
                <w:b/>
                <w:bCs/>
              </w:rPr>
              <w:t xml:space="preserve">Одиниця виміру</w:t>
            </w:r>
            <w:r/>
          </w:p>
        </w:tc>
        <w:tc>
          <w:tcPr>
            <w:tcW w:w="1701" w:type="dxa"/>
            <w:textDirection w:val="lrTb"/>
            <w:noWrap w:val="false"/>
          </w:tcPr>
          <w:p>
            <w:pPr>
              <w:pStyle w:val="675"/>
              <w:jc w:val="center"/>
              <w:rPr>
                <w:b/>
                <w:bCs/>
              </w:rPr>
            </w:pPr>
            <w:r>
              <w:rPr>
                <w:b/>
                <w:bCs/>
              </w:rPr>
              <w:t xml:space="preserve">Кількість</w:t>
            </w:r>
            <w:r/>
          </w:p>
        </w:tc>
      </w:tr>
      <w:tr>
        <w:trPr/>
        <w:tc>
          <w:tcPr>
            <w:tcW w:w="562" w:type="dxa"/>
            <w:textDirection w:val="lrTb"/>
            <w:noWrap w:val="false"/>
          </w:tcPr>
          <w:p>
            <w:pPr>
              <w:pStyle w:val="675"/>
              <w:jc w:val="center"/>
            </w:pPr>
            <w:r>
              <w:t xml:space="preserve">1.</w:t>
            </w:r>
            <w:r/>
          </w:p>
        </w:tc>
        <w:tc>
          <w:tcPr>
            <w:tcW w:w="5670" w:type="dxa"/>
            <w:textDirection w:val="lrTb"/>
            <w:noWrap w:val="false"/>
          </w:tcPr>
          <w:p>
            <w:pPr>
              <w:pStyle w:val="675"/>
              <w:jc w:val="both"/>
              <w:rPr>
                <w:b/>
                <w:bCs/>
              </w:rPr>
            </w:pPr>
            <w:r>
              <w:rPr>
                <w:b/>
                <w:bCs/>
              </w:rPr>
              <w:t xml:space="preserve">Система охоронного контролю доступу</w:t>
            </w:r>
            <w:r/>
          </w:p>
        </w:tc>
        <w:tc>
          <w:tcPr>
            <w:tcW w:w="1701" w:type="dxa"/>
            <w:vAlign w:val="center"/>
            <w:textDirection w:val="lrTb"/>
            <w:noWrap w:val="false"/>
          </w:tcPr>
          <w:p>
            <w:pPr>
              <w:pStyle w:val="675"/>
              <w:jc w:val="center"/>
            </w:pPr>
            <w:r>
              <w:t xml:space="preserve">комп.</w:t>
            </w:r>
            <w:r/>
          </w:p>
        </w:tc>
        <w:tc>
          <w:tcPr>
            <w:tcW w:w="1701" w:type="dxa"/>
            <w:textDirection w:val="lrTb"/>
            <w:noWrap w:val="false"/>
          </w:tcPr>
          <w:p>
            <w:pPr>
              <w:pStyle w:val="675"/>
              <w:jc w:val="center"/>
            </w:pPr>
            <w:r>
              <w:t xml:space="preserve">1</w:t>
            </w:r>
            <w:r/>
          </w:p>
        </w:tc>
      </w:tr>
      <w:tr>
        <w:trPr/>
        <w:tc>
          <w:tcPr>
            <w:tcW w:w="562" w:type="dxa"/>
            <w:textDirection w:val="lrTb"/>
            <w:noWrap w:val="false"/>
          </w:tcPr>
          <w:p>
            <w:pPr>
              <w:pStyle w:val="675"/>
              <w:jc w:val="center"/>
            </w:pPr>
            <w:r>
              <w:t xml:space="preserve">2.</w:t>
            </w:r>
            <w:r/>
          </w:p>
        </w:tc>
        <w:tc>
          <w:tcPr>
            <w:tcW w:w="5670" w:type="dxa"/>
            <w:textDirection w:val="lrTb"/>
            <w:noWrap w:val="false"/>
          </w:tcPr>
          <w:p>
            <w:pPr>
              <w:pStyle w:val="675"/>
              <w:jc w:val="both"/>
              <w:rPr>
                <w:b/>
                <w:bCs/>
              </w:rPr>
            </w:pPr>
            <w:r>
              <w:rPr>
                <w:b/>
                <w:bCs/>
              </w:rPr>
              <w:t xml:space="preserve">Система охоронної сигналізації</w:t>
            </w:r>
            <w:r/>
          </w:p>
        </w:tc>
        <w:tc>
          <w:tcPr>
            <w:tcW w:w="1701" w:type="dxa"/>
            <w:vAlign w:val="center"/>
            <w:textDirection w:val="lrTb"/>
            <w:noWrap w:val="false"/>
          </w:tcPr>
          <w:p>
            <w:pPr>
              <w:pStyle w:val="675"/>
              <w:jc w:val="center"/>
            </w:pPr>
            <w:r>
              <w:t xml:space="preserve">комп.</w:t>
            </w:r>
            <w:r/>
          </w:p>
        </w:tc>
        <w:tc>
          <w:tcPr>
            <w:tcW w:w="1701" w:type="dxa"/>
            <w:textDirection w:val="lrTb"/>
            <w:noWrap w:val="false"/>
          </w:tcPr>
          <w:p>
            <w:pPr>
              <w:pStyle w:val="675"/>
              <w:jc w:val="center"/>
            </w:pPr>
            <w:r>
              <w:t xml:space="preserve">1</w:t>
            </w:r>
            <w:r/>
          </w:p>
        </w:tc>
      </w:tr>
    </w:tbl>
    <w:p>
      <w:pPr>
        <w:pStyle w:val="675"/>
        <w:jc w:val="both"/>
        <w:spacing w:after="0" w:line="240" w:lineRule="auto"/>
        <w:rPr>
          <w:b/>
          <w:bCs/>
          <w:i/>
          <w:iCs/>
          <w:lang w:eastAsia="ru-RU"/>
        </w:rPr>
      </w:pPr>
      <w:r>
        <w:rPr>
          <w:b/>
          <w:bCs/>
          <w:i/>
          <w:iCs/>
          <w:lang w:eastAsia="ru-RU"/>
        </w:rPr>
      </w:r>
      <w:r/>
    </w:p>
    <w:p>
      <w:pPr>
        <w:pStyle w:val="675"/>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w:t>
      </w:r>
      <w:r>
        <w:rPr>
          <w:b/>
          <w:bCs/>
          <w:i/>
          <w:iCs/>
          <w:lang w:eastAsia="ru-RU"/>
        </w:rPr>
        <w:t xml:space="preserve">пусконалагоджування</w:t>
      </w:r>
      <w:r>
        <w:rPr>
          <w:b/>
          <w:bCs/>
          <w:i/>
          <w:iCs/>
          <w:lang w:eastAsia="ru-RU"/>
        </w:rPr>
        <w:t xml:space="preserve"> (введення в експлуатацію) Товару.</w:t>
      </w:r>
      <w:r/>
    </w:p>
    <w:p>
      <w:pPr>
        <w:pStyle w:val="675"/>
        <w:jc w:val="both"/>
        <w:spacing w:after="0" w:line="240" w:lineRule="auto"/>
        <w:rPr>
          <w:b/>
          <w:bCs/>
          <w:i/>
          <w:iCs/>
        </w:rPr>
      </w:pPr>
      <w:r>
        <w:rPr>
          <w:b/>
          <w:bCs/>
          <w:i/>
          <w:iCs/>
        </w:rPr>
      </w:r>
      <w:r/>
    </w:p>
    <w:p>
      <w:pPr>
        <w:pStyle w:val="675"/>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та обладнання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w:t>
      </w:r>
      <w:r>
        <w:rPr>
          <w:rFonts w:ascii="Times New Roman" w:hAnsi="Times New Roman" w:cs="Times New Roman"/>
          <w:sz w:val="24"/>
          <w:szCs w:val="24"/>
        </w:rPr>
        <w:t xml:space="preserve">пусконалагоджування</w:t>
      </w:r>
      <w:r>
        <w:rPr>
          <w:rFonts w:ascii="Times New Roman" w:hAnsi="Times New Roman" w:cs="Times New Roman"/>
          <w:sz w:val="24"/>
          <w:szCs w:val="24"/>
        </w:rPr>
        <w:t xml:space="preserve">,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обладнання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Зазначаємо, що кабельні мережі під дане обладнання виведене. (за необхідності Учасник може за домовленістю із Замовником відвідати та оглянути об’єкт Замовника де необхідно встановити системи).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(на послуги з монтажу та </w:t>
      </w:r>
      <w:r>
        <w:rPr>
          <w:rFonts w:ascii="Times New Roman" w:hAnsi="Times New Roman" w:cs="Times New Roman"/>
          <w:sz w:val="24"/>
          <w:szCs w:val="24"/>
        </w:rPr>
        <w:t xml:space="preserve">пусконалагоджування</w:t>
      </w:r>
      <w:r>
        <w:rPr>
          <w:rFonts w:ascii="Times New Roman" w:hAnsi="Times New Roman" w:cs="Times New Roman"/>
          <w:sz w:val="24"/>
          <w:szCs w:val="24"/>
        </w:rPr>
        <w:t xml:space="preserve"> системи охоронної сигналізації).</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w:t>
      </w:r>
      <w:r>
        <w:rPr>
          <w:rFonts w:ascii="Times New Roman" w:hAnsi="Times New Roman" w:cs="Times New Roman"/>
          <w:sz w:val="24"/>
          <w:szCs w:val="24"/>
        </w:rPr>
        <w:t xml:space="preserve">пропохиції</w:t>
      </w:r>
      <w:r>
        <w:rPr>
          <w:rFonts w:ascii="Times New Roman" w:hAnsi="Times New Roman" w:cs="Times New Roman"/>
          <w:sz w:val="24"/>
          <w:szCs w:val="24"/>
        </w:rPr>
        <w:t xml:space="preserve">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7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 СИСТЕМ:</w:t>
      </w:r>
      <w:r/>
    </w:p>
    <w:p>
      <w:pPr>
        <w:pStyle w:val="67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73"/>
        <w:tblW w:w="9802" w:type="dxa"/>
        <w:tblLook w:val="04A0" w:firstRow="1" w:lastRow="0" w:firstColumn="1" w:lastColumn="0" w:noHBand="0" w:noVBand="1"/>
      </w:tblPr>
      <w:tblGrid>
        <w:gridCol w:w="458"/>
        <w:gridCol w:w="4955"/>
        <w:gridCol w:w="1752"/>
        <w:gridCol w:w="1208"/>
        <w:gridCol w:w="1429"/>
      </w:tblGrid>
      <w:tr>
        <w:trPr/>
        <w:tc>
          <w:tcPr>
            <w:gridSpan w:val="5"/>
            <w:tcW w:w="980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Система охоронного контролю доступу</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8"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55"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752"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Тип, марка</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29"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Автоматизоване </w:t>
            </w:r>
            <w:r>
              <w:rPr>
                <w:rFonts w:ascii="Times New Roman" w:hAnsi="Times New Roman" w:cs="Times New Roman"/>
                <w:sz w:val="24"/>
                <w:szCs w:val="24"/>
              </w:rPr>
              <w:t xml:space="preserve">рабоче</w:t>
            </w:r>
            <w:r>
              <w:rPr>
                <w:rFonts w:ascii="Times New Roman" w:hAnsi="Times New Roman" w:cs="Times New Roman"/>
                <w:sz w:val="24"/>
                <w:szCs w:val="24"/>
              </w:rPr>
              <w:t xml:space="preserve"> місце оператора</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Gaming</w:t>
            </w:r>
            <w:r>
              <w:rPr>
                <w:rFonts w:ascii="Times New Roman" w:hAnsi="Times New Roman" w:cs="Times New Roman"/>
                <w:sz w:val="24"/>
                <w:szCs w:val="24"/>
              </w:rPr>
              <w:t xml:space="preserve"> X63v10</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Монітор</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S27A800</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Програмне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lang w:val="en-US"/>
              </w:rPr>
              <w:t xml:space="preserve"> Windows 11 Pro 64Bit Ukrainian</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Windows 11 </w:t>
            </w:r>
            <w:r>
              <w:rPr>
                <w:rFonts w:ascii="Times New Roman" w:hAnsi="Times New Roman" w:cs="Times New Roman"/>
                <w:sz w:val="24"/>
                <w:szCs w:val="24"/>
              </w:rPr>
              <w:t xml:space="preserve">Pro</w:t>
            </w:r>
            <w:r>
              <w:rPr>
                <w:rFonts w:ascii="Times New Roman" w:hAnsi="Times New Roman" w:cs="Times New Roman"/>
                <w:sz w:val="24"/>
                <w:szCs w:val="24"/>
              </w:rPr>
              <w:t xml:space="preserve"> 64Bit</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Лінійно-інтерактивний ДБЖ</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PowerWalker</w:t>
            </w:r>
            <w:r>
              <w:rPr>
                <w:rFonts w:ascii="Times New Roman" w:hAnsi="Times New Roman" w:cs="Times New Roman"/>
                <w:sz w:val="24"/>
                <w:szCs w:val="24"/>
              </w:rPr>
              <w:t xml:space="preserve"> </w:t>
            </w:r>
            <w:r>
              <w:rPr>
                <w:rFonts w:ascii="Times New Roman" w:hAnsi="Times New Roman" w:cs="Times New Roman"/>
                <w:sz w:val="24"/>
                <w:szCs w:val="24"/>
              </w:rPr>
              <w:t xml:space="preserve">Basic</w:t>
            </w:r>
            <w:r>
              <w:rPr>
                <w:rFonts w:ascii="Times New Roman" w:hAnsi="Times New Roman" w:cs="Times New Roman"/>
                <w:sz w:val="24"/>
                <w:szCs w:val="24"/>
              </w:rPr>
              <w:t xml:space="preserve"> VI 1500 STL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Клавіатура </w:t>
            </w:r>
            <w:r>
              <w:rPr>
                <w:rFonts w:ascii="Times New Roman" w:hAnsi="Times New Roman" w:cs="Times New Roman"/>
                <w:sz w:val="24"/>
                <w:szCs w:val="24"/>
              </w:rPr>
              <w:t xml:space="preserve">Logitech</w:t>
            </w:r>
            <w:r>
              <w:rPr>
                <w:rFonts w:ascii="Times New Roman" w:hAnsi="Times New Roman" w:cs="Times New Roman"/>
                <w:sz w:val="24"/>
                <w:szCs w:val="24"/>
              </w:rPr>
              <w:t xml:space="preserve"> K120 USB OEM </w:t>
            </w:r>
            <w:r>
              <w:rPr>
                <w:rFonts w:ascii="Times New Roman" w:hAnsi="Times New Roman" w:cs="Times New Roman"/>
                <w:sz w:val="24"/>
                <w:szCs w:val="24"/>
              </w:rPr>
              <w:t xml:space="preserve">Ukr</w:t>
            </w:r>
            <w:r>
              <w:rPr>
                <w:rFonts w:ascii="Times New Roman" w:hAnsi="Times New Roman" w:cs="Times New Roman"/>
                <w:sz w:val="24"/>
                <w:szCs w:val="24"/>
              </w:rPr>
              <w:t xml:space="preserve"> (920-002643)</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Logitech</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Миша</w:t>
            </w:r>
            <w:r>
              <w:rPr>
                <w:rFonts w:ascii="Times New Roman" w:hAnsi="Times New Roman" w:cs="Times New Roman"/>
                <w:sz w:val="24"/>
                <w:szCs w:val="24"/>
                <w:lang w:val="en-US"/>
              </w:rPr>
              <w:t xml:space="preserve"> Logitech B100 USB Black (910-003357)</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Logitech</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Мережевий фільтр-подовжувач для ДБЖ, 1,8м.</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Контролер доступу на двері в захисному боксі</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IP400</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Акумулятор 12В/ 7,2Аг</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Зчитувач </w:t>
            </w:r>
            <w:r>
              <w:rPr>
                <w:rFonts w:ascii="Times New Roman" w:hAnsi="Times New Roman" w:cs="Times New Roman"/>
                <w:sz w:val="24"/>
                <w:szCs w:val="24"/>
              </w:rPr>
              <w:t xml:space="preserve">мультиформатний</w:t>
            </w:r>
            <w:r>
              <w:rPr>
                <w:rFonts w:ascii="Times New Roman" w:hAnsi="Times New Roman" w:cs="Times New Roman"/>
                <w:sz w:val="24"/>
                <w:szCs w:val="24"/>
              </w:rPr>
              <w:t xml:space="preserve"> з клавіатурою</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SL </w:t>
            </w:r>
            <w:r>
              <w:rPr>
                <w:rFonts w:ascii="Times New Roman" w:hAnsi="Times New Roman" w:cs="Times New Roman"/>
                <w:sz w:val="24"/>
                <w:szCs w:val="24"/>
              </w:rPr>
              <w:t xml:space="preserve">keypad</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Зчитувач </w:t>
            </w:r>
            <w:r>
              <w:rPr>
                <w:rFonts w:ascii="Times New Roman" w:hAnsi="Times New Roman" w:cs="Times New Roman"/>
                <w:sz w:val="24"/>
                <w:szCs w:val="24"/>
              </w:rPr>
              <w:t xml:space="preserve">мультиформатний</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SL </w:t>
            </w:r>
            <w:r>
              <w:rPr>
                <w:rFonts w:ascii="Times New Roman" w:hAnsi="Times New Roman" w:cs="Times New Roman"/>
                <w:sz w:val="24"/>
                <w:szCs w:val="24"/>
              </w:rPr>
              <w:t xml:space="preserve">maxi</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38</w:t>
            </w:r>
            <w:r/>
          </w:p>
        </w:tc>
      </w:tr>
      <w:tr>
        <w:trPr>
          <w:trHeight w:val="70"/>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Настільний зчитувач безконтактних ідентифікаторів</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w:t>
            </w:r>
            <w:r>
              <w:rPr>
                <w:rFonts w:ascii="Times New Roman" w:hAnsi="Times New Roman" w:cs="Times New Roman"/>
                <w:sz w:val="24"/>
                <w:szCs w:val="24"/>
              </w:rPr>
              <w:t xml:space="preserve">Desktop</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Прилад доступу керування (ліфтами)</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IC E</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Релейний виконавчий модуль ліфтового контролера</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RM</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Перетворювач інтерфейсу </w:t>
            </w:r>
            <w:r>
              <w:rPr>
                <w:rFonts w:ascii="Times New Roman" w:hAnsi="Times New Roman" w:cs="Times New Roman"/>
                <w:sz w:val="24"/>
                <w:szCs w:val="24"/>
              </w:rPr>
              <w:t xml:space="preserve">Wiegand</w:t>
            </w:r>
            <w:r>
              <w:rPr>
                <w:rFonts w:ascii="Times New Roman" w:hAnsi="Times New Roman" w:cs="Times New Roman"/>
                <w:sz w:val="24"/>
                <w:szCs w:val="24"/>
              </w:rPr>
              <w:t xml:space="preserve"> в RS485</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WRS485</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16</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ID картка</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17</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Коммутатор</w:t>
            </w:r>
            <w:r>
              <w:rPr>
                <w:rFonts w:ascii="Times New Roman" w:hAnsi="Times New Roman" w:cs="Times New Roman"/>
                <w:sz w:val="24"/>
                <w:szCs w:val="24"/>
              </w:rPr>
              <w:t xml:space="preserve"> </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CRS328-24P-4S+RM</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18</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Монiтор</w:t>
            </w:r>
            <w:r>
              <w:rPr>
                <w:rFonts w:ascii="Times New Roman" w:hAnsi="Times New Roman" w:cs="Times New Roman"/>
                <w:sz w:val="24"/>
                <w:szCs w:val="24"/>
              </w:rPr>
              <w:t xml:space="preserve"> </w:t>
            </w:r>
            <w:r>
              <w:rPr>
                <w:rFonts w:ascii="Times New Roman" w:hAnsi="Times New Roman" w:cs="Times New Roman"/>
                <w:sz w:val="24"/>
                <w:szCs w:val="24"/>
              </w:rPr>
              <w:t xml:space="preserve">конс'єржа</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AM-02 BLACK</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19</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Визивна панель</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AV-01BD GREY</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Джерело безперебійного електроживлення</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PPS-1250-07</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21</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Акумулятор 12В/ 18Аг</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18</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22</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Електромагнітний замок/ригельний замок</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YM-280N</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23</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Доводчик</w:t>
            </w:r>
            <w:r>
              <w:rPr>
                <w:rFonts w:ascii="Times New Roman" w:hAnsi="Times New Roman" w:cs="Times New Roman"/>
                <w:sz w:val="24"/>
                <w:szCs w:val="24"/>
              </w:rPr>
              <w:t xml:space="preserve">  </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TS71 RF</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24</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Магнітоконтакт</w:t>
            </w:r>
            <w:r>
              <w:rPr>
                <w:rFonts w:ascii="Times New Roman" w:hAnsi="Times New Roman" w:cs="Times New Roman"/>
                <w:sz w:val="24"/>
                <w:szCs w:val="24"/>
              </w:rPr>
              <w:t xml:space="preserve"> ЭСМК-5</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25</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Принтер пластикових карт</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DTC 1250</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26</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Пристрій для розблокування дверей </w:t>
            </w:r>
            <w:r/>
          </w:p>
        </w:tc>
        <w:tc>
          <w:tcPr>
            <w:tcW w:w="1752"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РУПД-04</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29"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3"/>
        <w:tblW w:w="9629" w:type="dxa"/>
        <w:tblLook w:val="04A0" w:firstRow="1" w:lastRow="0" w:firstColumn="1" w:lastColumn="0" w:noHBand="0" w:noVBand="1"/>
      </w:tblPr>
      <w:tblGrid>
        <w:gridCol w:w="456"/>
        <w:gridCol w:w="4922"/>
        <w:gridCol w:w="1700"/>
        <w:gridCol w:w="1276"/>
        <w:gridCol w:w="1275"/>
      </w:tblGrid>
      <w:tr>
        <w:trPr/>
        <w:tc>
          <w:tcPr>
            <w:gridSpan w:val="5"/>
            <w:tcW w:w="9629"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Система охоронної сигналізації</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2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70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Тип, марка</w:t>
            </w:r>
            <w:r/>
          </w:p>
        </w:tc>
        <w:tc>
          <w:tcPr>
            <w:tcW w:w="127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275"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Головна плата ППК від 16 до 128 зон </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INTEGRA-256 PLUS</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Корпус з трансформатором для INTEGRA PLUS</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OMI-4</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Клавіатура </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INT-KLCD-GR</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Модуль </w:t>
            </w:r>
            <w:r>
              <w:rPr>
                <w:rFonts w:ascii="Times New Roman" w:hAnsi="Times New Roman" w:cs="Times New Roman"/>
                <w:sz w:val="24"/>
                <w:szCs w:val="24"/>
              </w:rPr>
              <w:t xml:space="preserve">расширения</w:t>
            </w:r>
            <w:r>
              <w:rPr>
                <w:rFonts w:ascii="Times New Roman" w:hAnsi="Times New Roman" w:cs="Times New Roman"/>
                <w:sz w:val="24"/>
                <w:szCs w:val="24"/>
              </w:rPr>
              <w:t xml:space="preserve"> на 8 зон</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INT-E</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29</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Батарея акумуляторна на 12 В, 7 А/г </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SP-12-7.0</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Батарея акумуляторна 12 В, 17 А/г</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SP-12-17.0</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Магнітоконтакт</w:t>
            </w:r>
            <w:r>
              <w:rPr>
                <w:rFonts w:ascii="Times New Roman" w:hAnsi="Times New Roman" w:cs="Times New Roman"/>
                <w:sz w:val="24"/>
                <w:szCs w:val="24"/>
              </w:rPr>
              <w:t xml:space="preserve"> ЭСМК-5</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ЕСМК-5</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213</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Магнітоконтактний</w:t>
            </w:r>
            <w:r>
              <w:rPr>
                <w:rFonts w:ascii="Times New Roman" w:hAnsi="Times New Roman" w:cs="Times New Roman"/>
                <w:sz w:val="24"/>
                <w:szCs w:val="24"/>
              </w:rPr>
              <w:t xml:space="preserve"> сповіщувач </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СОМК 1-9</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Кнопка тривожної сигналізації ИРТС-1</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ИРТС-1</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ЦИФРОВИЙ ПАСИВНИЙ ІЧ-СПОВІЩУВАЧ</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AQUA PLUS</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Комбінований сповіщувач руху і розбиття скла</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NAVY</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Комунікаційний модуль </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ETHM-1 </w:t>
            </w:r>
            <w:r>
              <w:rPr>
                <w:rFonts w:ascii="Times New Roman" w:hAnsi="Times New Roman" w:cs="Times New Roman"/>
                <w:sz w:val="24"/>
                <w:szCs w:val="24"/>
              </w:rPr>
              <w:t xml:space="preserve">Plus</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Оповіщувач світлозвуковий зовнішній</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SP 500</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Корпус металевий габ. (328х406х120) мм</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OMI-5</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Блок живлення 3А+3А, 12В</w:t>
            </w:r>
            <w:r/>
          </w:p>
        </w:tc>
        <w:tc>
          <w:tcPr>
            <w:tcW w:w="17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APS-612</w:t>
            </w:r>
            <w:r/>
          </w:p>
        </w:tc>
        <w:tc>
          <w:tcPr>
            <w:tcW w:w="127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27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бюджет України на 2023 рік» за КПКВК 1001050 «Реалізація державної політики у сфері внутрішніх справ, забезпечення виконання завдань і </w:t>
      </w:r>
      <w:r>
        <w:rPr>
          <w:rFonts w:ascii="Times New Roman" w:hAnsi="Times New Roman" w:eastAsia="Times New Roman" w:cs="Times New Roman"/>
          <w:sz w:val="24"/>
          <w:szCs w:val="24"/>
          <w:lang w:eastAsia="ru-RU"/>
        </w:rPr>
        <w:t xml:space="preserve">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2 097 841,78</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дев’яносто сім</w:t>
      </w:r>
      <w:r>
        <w:rPr>
          <w:rFonts w:ascii="Times New Roman" w:hAnsi="Times New Roman" w:eastAsia="Times New Roman" w:cs="Times New Roman"/>
          <w:sz w:val="24"/>
          <w:szCs w:val="24"/>
          <w:lang w:eastAsia="ru-RU"/>
        </w:rPr>
        <w:t xml:space="preserve"> тисяч </w:t>
      </w:r>
      <w:r>
        <w:rPr>
          <w:rFonts w:ascii="Times New Roman" w:hAnsi="Times New Roman" w:eastAsia="Times New Roman" w:cs="Times New Roman"/>
          <w:sz w:val="24"/>
          <w:szCs w:val="24"/>
          <w:lang w:eastAsia="ru-RU"/>
        </w:rPr>
        <w:t xml:space="preserve">вісімсот сорок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78</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0">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8"/>
  </w:num>
  <w:num w:numId="2">
    <w:abstractNumId w:val="6"/>
  </w:num>
  <w:num w:numId="3">
    <w:abstractNumId w:val="2"/>
  </w:num>
  <w:num w:numId="4">
    <w:abstractNumId w:val="7"/>
  </w:num>
  <w:num w:numId="5">
    <w:abstractNumId w:val="1"/>
  </w:num>
  <w:num w:numId="6">
    <w:abstractNumId w:val="9"/>
  </w:num>
  <w:num w:numId="7">
    <w:abstractNumId w:val="3"/>
  </w:num>
  <w:num w:numId="8">
    <w:abstractNumId w:val="10"/>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668"/>
    <w:link w:val="42"/>
    <w:uiPriority w:val="99"/>
  </w:style>
  <w:style w:type="character" w:styleId="45">
    <w:name w:val="Footer Char"/>
    <w:basedOn w:val="668"/>
    <w:link w:val="677"/>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677"/>
    <w:uiPriority w:val="99"/>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8"/>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qFormat/>
    <w:rPr>
      <w:lang w:val="uk-UA"/>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name w:val="List Paragraph"/>
    <w:basedOn w:val="667"/>
    <w:link w:val="672"/>
    <w:uiPriority w:val="99"/>
    <w:qFormat/>
    <w:pPr>
      <w:contextualSpacing/>
      <w:ind w:left="720"/>
      <w:spacing w:after="200" w:line="276" w:lineRule="auto"/>
    </w:pPr>
    <w:rPr>
      <w:rFonts w:ascii="Calibri" w:hAnsi="Calibri" w:eastAsia="Calibri" w:cs="Calibri"/>
      <w:lang w:val="ru-RU" w:eastAsia="zh-CN"/>
    </w:rPr>
  </w:style>
  <w:style w:type="character" w:styleId="672" w:customStyle="1">
    <w:name w:val="Абзац списку Знак"/>
    <w:link w:val="671"/>
    <w:uiPriority w:val="99"/>
    <w:rPr>
      <w:rFonts w:ascii="Calibri" w:hAnsi="Calibri" w:eastAsia="Calibri" w:cs="Calibri"/>
      <w:lang w:eastAsia="zh-CN"/>
    </w:rPr>
  </w:style>
  <w:style w:type="table" w:styleId="673">
    <w:name w:val="Table Grid"/>
    <w:basedOn w:val="66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4" w:customStyle="1">
    <w:name w:val="Сетка таблицы2"/>
    <w:basedOn w:val="669"/>
    <w:next w:val="67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name w:val="Normal (Web)"/>
    <w:basedOn w:val="667"/>
    <w:link w:val="682"/>
    <w:unhideWhenUsed/>
    <w:qFormat/>
    <w:rPr>
      <w:rFonts w:ascii="Times New Roman" w:hAnsi="Times New Roman" w:cs="Times New Roman"/>
      <w:sz w:val="24"/>
      <w:szCs w:val="24"/>
    </w:rPr>
  </w:style>
  <w:style w:type="table" w:styleId="676" w:customStyle="1">
    <w:name w:val="Сетка таблицы1"/>
    <w:basedOn w:val="669"/>
    <w:next w:val="67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Footer"/>
    <w:basedOn w:val="667"/>
    <w:link w:val="67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8" w:customStyle="1">
    <w:name w:val="Нижній колонтитул Знак"/>
    <w:basedOn w:val="668"/>
    <w:link w:val="677"/>
    <w:uiPriority w:val="99"/>
    <w:rPr>
      <w:rFonts w:ascii="Calibri" w:hAnsi="Calibri" w:eastAsia="Calibri" w:cs="Calibri"/>
      <w:lang w:eastAsia="zh-CN"/>
    </w:rPr>
  </w:style>
  <w:style w:type="paragraph" w:styleId="67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0">
    <w:name w:val="Hyperlink"/>
    <w:basedOn w:val="668"/>
    <w:uiPriority w:val="99"/>
    <w:unhideWhenUsed/>
    <w:rPr>
      <w:color w:val="0563c1" w:themeColor="hyperlink"/>
      <w:u w:val="single"/>
    </w:rPr>
  </w:style>
  <w:style w:type="character" w:styleId="681" w:customStyle="1">
    <w:name w:val="xfm_93972720"/>
    <w:basedOn w:val="668"/>
  </w:style>
  <w:style w:type="character" w:styleId="682" w:customStyle="1">
    <w:name w:val="Звичайний (веб) Знак"/>
    <w:link w:val="675"/>
    <w:qFormat/>
    <w:rPr>
      <w:rFonts w:ascii="Times New Roman" w:hAnsi="Times New Roman" w:cs="Times New Roman"/>
      <w:sz w:val="24"/>
      <w:szCs w:val="24"/>
      <w:lang w:val="uk-UA"/>
    </w:rPr>
  </w:style>
  <w:style w:type="paragraph" w:styleId="683">
    <w:name w:val="Body Text 2"/>
    <w:basedOn w:val="667"/>
    <w:link w:val="684"/>
    <w:pPr>
      <w:spacing w:after="0" w:line="240" w:lineRule="auto"/>
    </w:pPr>
    <w:rPr>
      <w:rFonts w:ascii="Times New Roman" w:hAnsi="Times New Roman" w:eastAsia="Times New Roman" w:cs="Times New Roman"/>
      <w:sz w:val="28"/>
      <w:szCs w:val="20"/>
      <w:lang w:val="ru-RU" w:eastAsia="ru-RU"/>
    </w:rPr>
  </w:style>
  <w:style w:type="character" w:styleId="684" w:customStyle="1">
    <w:name w:val="Основний текст 2 Знак"/>
    <w:basedOn w:val="668"/>
    <w:link w:val="683"/>
    <w:rPr>
      <w:rFonts w:ascii="Times New Roman" w:hAnsi="Times New Roman" w:eastAsia="Times New Roman" w:cs="Times New Roman"/>
      <w:sz w:val="28"/>
      <w:szCs w:val="20"/>
      <w:lang w:eastAsia="ru-RU"/>
    </w:rPr>
  </w:style>
  <w:style w:type="paragraph" w:styleId="685" w:customStyle="1">
    <w:name w:val="Default"/>
    <w:pPr>
      <w:spacing w:after="0" w:line="240" w:lineRule="auto"/>
    </w:pPr>
    <w:rPr>
      <w:rFonts w:ascii="Times New Roman" w:hAnsi="Times New Roman" w:eastAsia="Calibri" w:cs="Times New Roman"/>
      <w:color w:val="000000"/>
      <w:sz w:val="24"/>
      <w:szCs w:val="24"/>
      <w:lang w:val="uk-UA"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57</cp:revision>
  <dcterms:created xsi:type="dcterms:W3CDTF">2022-11-01T12:47:00Z</dcterms:created>
  <dcterms:modified xsi:type="dcterms:W3CDTF">2023-04-11T11:52:58Z</dcterms:modified>
</cp:coreProperties>
</file>