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eastAsia="ru-RU"/>
        </w:rPr>
        <w:t xml:space="preserve">Послуга з технічного обслуговування (технічної підтримки) центральних компонент Інформаційно-комунікаційної системи «Система фіксації адміністративних правопорушень у сфері забезпечення безпеки дорожнього руху в автоматичному режимі»</w:t>
      </w:r>
      <w:r>
        <w:t xml:space="preserve"> </w:t>
      </w:r>
      <w:r>
        <w:rPr>
          <w:b w:val="0"/>
          <w:sz w:val="24"/>
          <w:szCs w:val="24"/>
          <w:lang w:eastAsia="ru-RU"/>
        </w:rPr>
        <w:t xml:space="preserve">за кодом  ДК 021:2015: 72250000-2 Послуги, пов’язані із системами та підтримкою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013199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Послуга з технічного обслуговування (технічної підтримки) центральних компонент Інформаційно-комунікаційної системи «Система фіксації адміністративних правопорушень у сфері забезпечення безпеки дорожнього руху в автоматичному режимі»</w:t>
      </w:r>
      <w:r>
        <w:rPr>
          <w:bCs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за кодом  ДК 021:2015: 72250000-2 Послуги, пов’язані із системами та підтримкою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r>
      <w:r/>
    </w:p>
    <w:p>
      <w:pPr>
        <w:ind w:firstLine="902"/>
        <w:jc w:val="center"/>
        <w:spacing w:after="12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Послуга з технічного обслуговування (технічної підтримки) центральних компонент Інформаційно-комунікаційної системи «Система фіксації адміністративних правопорушень у сфері забезпечення безпеки дорожнього руху в автоматичному режимі»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за кодом  ДК 021:2015: 72250000-2 Послуги, пов’язані із системами та підтримкою</w:t>
      </w:r>
      <w:r/>
    </w:p>
    <w:p>
      <w:pPr>
        <w:jc w:val="both"/>
        <w:spacing w:line="240" w:lineRule="auto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  <w:t xml:space="preserve">Технічна частина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Послуга підтримки ІТ-сервісів Замовника забезпечується Виконавцем у формі часткового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аутстафінгу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персоналу. 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Послуга надається Замовнику у вигляді базових та додаткових послуг. Надані послуги оформлюються актами наданих послуг, що підписуються уповноваженими представниками Замовника та Виконавця.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Основні завдання: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</w:r>
      <w:r/>
    </w:p>
    <w:p>
      <w:pPr>
        <w:numPr>
          <w:ilvl w:val="0"/>
          <w:numId w:val="32"/>
        </w:numPr>
        <w:contextualSpacing/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Забезпечити доступність програмно-апаратного комплексу СФАП (далі – ПАК СФАП) з максимально допустимим часом простою не більше ніж 4 години на рік.</w:t>
      </w:r>
      <w:r/>
    </w:p>
    <w:p>
      <w:pPr>
        <w:numPr>
          <w:ilvl w:val="0"/>
          <w:numId w:val="32"/>
        </w:numPr>
        <w:contextualSpacing/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Здійснювати комплексну підтримку ІТ-сервісів ПАК СФАП. Підтримка здійснюється за місцезнаходженням Замовника згідно із заявкою (фахівець Виконавця повинен бути присутнім за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адресою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визначеною Замовником у заявці).</w:t>
      </w:r>
      <w:r/>
    </w:p>
    <w:p>
      <w:pPr>
        <w:numPr>
          <w:ilvl w:val="0"/>
          <w:numId w:val="32"/>
        </w:numPr>
        <w:contextualSpacing/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Підтримка в актуальному стані технічної документації </w:t>
      </w:r>
      <w:bookmarkStart w:id="1" w:name="_Hlk106808484"/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ПАК СФАП</w:t>
      </w:r>
      <w:bookmarkEnd w:id="1"/>
      <w:r>
        <w:rPr>
          <w:rFonts w:ascii="Times New Roman" w:hAnsi="Times New Roman" w:eastAsia="Calibri" w:cs="Times New Roman"/>
          <w:bCs/>
          <w:sz w:val="24"/>
          <w:szCs w:val="24"/>
        </w:rPr>
        <w:t xml:space="preserve">.</w:t>
      </w:r>
      <w:r/>
    </w:p>
    <w:p>
      <w:pPr>
        <w:jc w:val="both"/>
        <w:spacing w:after="24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</w:r>
      <w:r/>
    </w:p>
    <w:p>
      <w:pPr>
        <w:jc w:val="both"/>
        <w:spacing w:after="24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Послуга має включати в себе, але не обмежуватися такими складовими: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Відновлення працездатності сервісів, обладнання в разі аварії, збоїв тощо.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Проактивний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моніторинг стану сервісів та обладнання, своєчасне виявлення вузьких місць та надання рекомендацій щодо модернізації або реінжинірингу ІТ-інфраструктури та сервісів Замовника.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Оптимізація використання наявних ІТ-активів та інших ресурсів для зниження витрат Замовника та вартості володіння ПАК СФАП.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Своєчасне, згідно з регламентом, установлення оновлень операційних систем ( далі – ОС) , програмного забезпечення (далі – ПЗ), оновлення прошивок обладнання.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Організація підтримки системи відповідно до наведеного переліку обладнання.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Діагностика програмних та апаратних збоїв системи.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Усунення помилок у роботі системи.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Унесення змін до конфігурації (функціональність) системи згідно з технічним завданням Замовника.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Розробка й оновлення процедур резервного копіювання конфігурацій і даних системи. Перевірка цілісності резервних копій.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Аналіз системних журналів з метою виявлення потенційних проблем у роботі системи.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Надання консультацій технічного персоналу Замовника з питань експлуатації та змін у системі.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Тестування та демонстраційні випробування нового функціоналу системи.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Надання обґрунтованих рекомендацій щодо подальшого розвитку та масштабування системи.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Надання щомісячної звітності щодо виконаних робіт.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Активація річних сервісних контрактів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Cisco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Smartnet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згідно з переліком.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Упереджувальна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заміна обладнання, що вийшло з ладу. Обладнання або компонента для заміни доставляється Замовнику до отримання від нього несправного обладнання. Час заміни обладнання в Києві – наступний робочий день, в інших містах – до 3 робочих днів.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Отримання основних та проміжних релізів ПЗ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Cisco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(IOS, голосове ПЗ, прикладне ПЗ) через сайт http://cisco.com/go/software.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Доступ до закритої частини сайту www.cisco.com і онлайн-баз інформації виробника.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Відкриття кейсів у глобальній службі підтримки виробника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Cisco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TAC.</w:t>
      </w:r>
      <w:r/>
    </w:p>
    <w:p>
      <w:pPr>
        <w:numPr>
          <w:ilvl w:val="0"/>
          <w:numId w:val="33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Режим надання послуг: визначено договором.</w:t>
      </w:r>
      <w:r/>
    </w:p>
    <w:p>
      <w:pPr>
        <w:jc w:val="both"/>
        <w:spacing w:after="24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</w:r>
      <w:r/>
    </w:p>
    <w:p>
      <w:pPr>
        <w:jc w:val="both"/>
        <w:spacing w:after="24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Інформація про інфраструктуру.</w:t>
      </w:r>
      <w:r/>
    </w:p>
    <w:p>
      <w:pPr>
        <w:jc w:val="both"/>
        <w:spacing w:after="24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ПАК СФАП включає в себе такі складові:</w:t>
      </w:r>
      <w:r/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Віртуалізація всіх кластерів, побудована за технологіями </w:t>
      </w:r>
      <w:r>
        <w:rPr>
          <w:rFonts w:ascii="Times New Roman" w:hAnsi="Times New Roman" w:eastAsia="Calibri" w:cs="Times New Roman"/>
          <w:bCs/>
          <w:sz w:val="24"/>
          <w:szCs w:val="24"/>
          <w:lang w:val="en-US"/>
        </w:rPr>
        <w:t xml:space="preserve">VMware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з використанням функціоналу пакета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VMware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vSphere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7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Ent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Plus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.</w:t>
      </w:r>
      <w:r/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Гіперконвергентний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кластер на основі 8 (восьми) серверів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Cisco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UCS HX240c M5 – 2 комплекти.</w:t>
      </w:r>
      <w:r/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Конвергентний кластер на основі 5 (п’яти)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блейд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-серверів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Cisco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UCS B200 M5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Blade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розміщених у шасі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Cisco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UCS 5108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Blade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Server AC2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Chassis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– 2 комплекти.</w:t>
      </w:r>
      <w:r/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Система зберігання даних </w:t>
      </w:r>
      <w:r>
        <w:rPr>
          <w:rFonts w:ascii="Times New Roman" w:hAnsi="Times New Roman" w:eastAsia="Calibri" w:cs="Times New Roman"/>
          <w:bCs/>
          <w:sz w:val="24"/>
          <w:szCs w:val="24"/>
          <w:lang w:val="en-US"/>
        </w:rPr>
        <w:t xml:space="preserve">NetApp FAS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8300 </w:t>
      </w:r>
      <w:r>
        <w:rPr>
          <w:rFonts w:ascii="Times New Roman" w:hAnsi="Times New Roman" w:eastAsia="Calibri" w:cs="Times New Roman"/>
          <w:bCs/>
          <w:sz w:val="24"/>
          <w:szCs w:val="24"/>
          <w:lang w:val="en-US"/>
        </w:rPr>
        <w:t xml:space="preserve">HA System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– 2 комплекти.</w:t>
      </w:r>
      <w:r/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Об’єктна система зберігання даних </w:t>
      </w:r>
      <w:r>
        <w:rPr>
          <w:rFonts w:ascii="Times New Roman" w:hAnsi="Times New Roman" w:eastAsia="Calibri" w:cs="Times New Roman"/>
          <w:bCs/>
          <w:sz w:val="24"/>
          <w:szCs w:val="24"/>
          <w:lang w:val="en-US"/>
        </w:rPr>
        <w:t xml:space="preserve">Cisco </w:t>
      </w:r>
      <w:r>
        <w:rPr>
          <w:rFonts w:ascii="Times New Roman" w:hAnsi="Times New Roman" w:eastAsia="Calibri" w:cs="Times New Roman"/>
          <w:bCs/>
          <w:sz w:val="24"/>
          <w:szCs w:val="24"/>
          <w:lang w:val="en-US"/>
        </w:rPr>
        <w:t xml:space="preserve">Scality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що побудована на базі 6 (шести) серверів зберігання даних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Cisco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UCS S3260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Storage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Server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Base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Chassis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– 2 комплекти.</w:t>
      </w:r>
      <w:r/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Конвергентні комутатори передачі та зберігання даних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Cisco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UCS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Fabric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Interconnect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6332 – 8 одиниць.</w:t>
      </w:r>
      <w:r/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Програмно-визначена мережа </w:t>
      </w:r>
      <w:r>
        <w:rPr>
          <w:rFonts w:ascii="Times New Roman" w:hAnsi="Times New Roman" w:eastAsia="Calibri" w:cs="Times New Roman"/>
          <w:bCs/>
          <w:sz w:val="24"/>
          <w:szCs w:val="24"/>
          <w:lang w:val="en-US"/>
        </w:rPr>
        <w:t xml:space="preserve">Cisco ACI and APIC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на базі 3 (трьох) вузлів APIC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Appliance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Medium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Configuration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; 1 (одного) комутатора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Nexus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9K ACI &amp; NX-OS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Spine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32p 40/100G &amp; 2p 10G та 4 (чотирьох) комутаторів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Nexus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9300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Series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36p 40/100G QSFP28 – 2 комплекти.</w:t>
      </w:r>
      <w:r/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Мережевий маршрутизатор ASR1001-X, 20G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Base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Bundle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K9, AES,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Built-in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6x1G, 2x10G – 4 шт.</w:t>
      </w:r>
      <w:r/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Міжмережеві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екрани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Cisco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Firepower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2130 – 4 шт.</w:t>
      </w:r>
      <w:r/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Комутатор  захисту прикладних додатків, балансування навантаження та контролю доступу до прикладних додатків F5 BIG-IP i5600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Local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Traffic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Manager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(48 GB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Memory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SSD,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Base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SSL,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Base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Compression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) – 4 шт.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Додаткову інформацію про інфраструктуру буде надано після підписання договору.</w:t>
      </w:r>
      <w:r/>
    </w:p>
    <w:p>
      <w:pPr>
        <w:jc w:val="both"/>
        <w:spacing w:after="24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/>
    </w:p>
    <w:p>
      <w:pPr>
        <w:jc w:val="both"/>
        <w:spacing w:after="24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Час надання послуг:</w:t>
      </w:r>
      <w:r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4961"/>
      </w:tblGrid>
      <w:tr>
        <w:trPr>
          <w:jc w:val="center"/>
          <w:trHeight w:val="4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1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Телефонні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консультації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Щоденно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(з 08.00 до 19.00).</w:t>
            </w:r>
            <w:r/>
          </w:p>
          <w:p>
            <w:pPr>
              <w:jc w:val="both"/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Час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реакції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на запит: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 xml:space="preserve">до 30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 xml:space="preserve">хвилин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 xml:space="preserve"> – у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 xml:space="preserve">робочий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 xml:space="preserve"> час, до 2 годин – у 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 xml:space="preserve">неробочий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 xml:space="preserve"> час.</w:t>
            </w:r>
            <w:r/>
          </w:p>
        </w:tc>
      </w:tr>
      <w:tr>
        <w:trPr>
          <w:jc w:val="center"/>
          <w:trHeight w:val="4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1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Підтримка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електронною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поштою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jc w:val="center"/>
          <w:trHeight w:val="4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1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Віддалена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підтримка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/>
          </w:p>
        </w:tc>
      </w:tr>
    </w:tbl>
    <w:p>
      <w:pPr>
        <w:jc w:val="both"/>
        <w:spacing w:after="24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/>
    </w:p>
    <w:p>
      <w:pPr>
        <w:jc w:val="both"/>
        <w:spacing w:after="24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Час реагування на інциденти</w:t>
      </w:r>
      <w:r/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952"/>
        <w:gridCol w:w="2868"/>
        <w:gridCol w:w="1559"/>
        <w:gridCol w:w="1418"/>
        <w:gridCol w:w="1559"/>
      </w:tblGrid>
      <w:tr>
        <w:trPr>
          <w:trHeight w:val="8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Тип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запиту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Вид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категорія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запиту</w:t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Час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вирішення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залежно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пріоритету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години</w:t>
            </w:r>
            <w:r/>
          </w:p>
        </w:tc>
      </w:tr>
      <w:tr>
        <w:trPr>
          <w:trHeight w:val="28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Низький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Середній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Високий</w:t>
            </w:r>
            <w:r/>
          </w:p>
        </w:tc>
      </w:tr>
      <w:tr>
        <w:trPr>
          <w:trHeight w:val="46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Інцидент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Усунення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проблем 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роботі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</w:t>
            </w:r>
            <w:r/>
          </w:p>
        </w:tc>
      </w:tr>
      <w:tr>
        <w:trPr>
          <w:trHeight w:val="28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Запит на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обслуговування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Управління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доступом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Запит на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надання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інформації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Консультація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</w:t>
            </w:r>
            <w:r/>
          </w:p>
        </w:tc>
      </w:tr>
      <w:tr>
        <w:trPr>
          <w:trHeight w:val="4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Запит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інформації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</w:t>
            </w:r>
            <w:r/>
          </w:p>
        </w:tc>
      </w:tr>
      <w:tr>
        <w:trPr>
          <w:trHeight w:val="28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Запит на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зміну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Інсталяція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16</w:t>
            </w:r>
            <w:r/>
          </w:p>
        </w:tc>
      </w:tr>
      <w:tr>
        <w:trPr>
          <w:trHeight w:val="28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Налаштування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16</w:t>
            </w:r>
            <w:r/>
          </w:p>
        </w:tc>
      </w:tr>
      <w:tr>
        <w:trPr>
          <w:trHeight w:val="28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Зміна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даних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</w:t>
            </w:r>
            <w:r/>
          </w:p>
        </w:tc>
      </w:tr>
      <w:tr>
        <w:trPr>
          <w:trHeight w:val="46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Виконання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регламентних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операцій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24</w:t>
            </w:r>
            <w:r/>
          </w:p>
        </w:tc>
      </w:tr>
      <w:tr>
        <w:trPr>
          <w:trHeight w:val="66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Відновлення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після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аварії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Позаштатна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ситуація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</w:t>
            </w:r>
            <w:r/>
          </w:p>
        </w:tc>
      </w:tr>
    </w:tbl>
    <w:p>
      <w:pPr>
        <w:jc w:val="both"/>
        <w:spacing w:after="24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/>
    </w:p>
    <w:p>
      <w:pPr>
        <w:jc w:val="both"/>
        <w:spacing w:after="24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Усі звернення класифіковано на:</w:t>
      </w:r>
      <w:r/>
    </w:p>
    <w:p>
      <w:pPr>
        <w:numPr>
          <w:ilvl w:val="0"/>
          <w:numId w:val="35"/>
        </w:num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Інцидентний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запит – звернення, яке обумовлено незапланованим перериванням надання ІТ-послуги або доступності ІТ-сервісу</w:t>
      </w:r>
      <w:r/>
    </w:p>
    <w:p>
      <w:pPr>
        <w:numPr>
          <w:ilvl w:val="0"/>
          <w:numId w:val="35"/>
        </w:num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Запит на обслуговування – заплановане звернення, зумовлене необхідністю виконання робіт з адміністрування ІТ-сервісу. Даний тип запиту не обумовлений перериванням роботи доступності ІТ-сервісу і не пов’язаний з помилкою в ІТ-інфраструктурі.</w:t>
      </w:r>
      <w:r/>
    </w:p>
    <w:p>
      <w:pPr>
        <w:numPr>
          <w:ilvl w:val="0"/>
          <w:numId w:val="35"/>
        </w:num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Запит на надання інформації, отримання консультаційної підтримки інформації. Цей тип запиту не обумовлений перериванням роботи доступності ІТ-сервісу і не пов’язаний з помилкою в ІТ-інфраструктурі.</w:t>
      </w:r>
      <w:r/>
    </w:p>
    <w:p>
      <w:pPr>
        <w:numPr>
          <w:ilvl w:val="0"/>
          <w:numId w:val="35"/>
        </w:num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Запит на зміну включає інсталяцію, налаштування, розробку, виконання регламентних робіт.</w:t>
      </w:r>
      <w:r/>
    </w:p>
    <w:p>
      <w:pPr>
        <w:numPr>
          <w:ilvl w:val="0"/>
          <w:numId w:val="35"/>
        </w:num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Від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новлення після аварії – масовий інцидент високого рівня впливу на ПАК СФАП, який викликаний позаштатною ситуацією в програмному та/або апаратному забезпеченні й який призвів до повного зупинення робочих процесів та ІТ-сервісів, які ці процеси забезпечують.</w:t>
      </w:r>
      <w:r/>
    </w:p>
    <w:p>
      <w:pPr>
        <w:jc w:val="both"/>
        <w:spacing w:after="24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Пріоритети</w:t>
      </w:r>
      <w:r/>
    </w:p>
    <w:p>
      <w:pPr>
        <w:numPr>
          <w:ilvl w:val="0"/>
          <w:numId w:val="35"/>
        </w:num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Високий – один або кілька ключових сервісів та функцій не працюють, що істотно впливає на бізнес-процеси замовника, зокрема такі як: робота ПАК СФАП неможлива.</w:t>
      </w:r>
      <w:r/>
    </w:p>
    <w:p>
      <w:pPr>
        <w:numPr>
          <w:ilvl w:val="0"/>
          <w:numId w:val="35"/>
        </w:num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редній – один або кілька сервісів і функцій не працюють або знижена їхня продуктивність, що чинить несуттєвий вплив на роботу ПАК СФАП, такі як: робота ПАК можлива з несуттєвим порушенням нормативних термінів, неможливо отримати неосновні послуги ПАК СФАП.</w:t>
      </w:r>
      <w:r/>
    </w:p>
    <w:p>
      <w:pPr>
        <w:numPr>
          <w:ilvl w:val="0"/>
          <w:numId w:val="35"/>
        </w:num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Низький – низка сервісів та функцій не працюють або знижена їхня продуктивність, що не впливає на роботу ПАК СФАП, є можливість заміни їхньої функціональності на альтернативні рішення.</w:t>
      </w:r>
      <w:r/>
    </w:p>
    <w:p>
      <w:pPr>
        <w:ind w:firstLine="902"/>
        <w:jc w:val="both"/>
        <w:spacing w:after="12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ind w:firstLine="902"/>
        <w:jc w:val="both"/>
        <w:spacing w:after="12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Кваліфікаційна частина</w:t>
      </w:r>
      <w:r/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період виконання договору за Замовником має бути закріплено не менш ніж один:</w:t>
      </w:r>
      <w:r/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• виокремлений менеджер з обробки заявок і звернень;</w:t>
      </w:r>
      <w:r/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• виокремлений інженер першої лінії підтримки.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Учасники торгів повинні належним чином здійснювати діяльність щодо предмету закупівлі. У зв’язку з цим для належного захисту інтересів Замовника щодо авторизованого джерела постачання послуг за такими торгами учасники торгів повинні надати копію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авторизаційного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листа про повноваження від виробників або офіційних представництв на території України, що підтверджує право учасника торгів 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постачання послуг відповідно до позицій предмета закупівлі та укладання договору про їх постачання на території України з обов’язковим зазначенням найменування та номера торгів, інформації щодо партнерських відносин між виробником обладнання та учасником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закупівель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У разі надання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авторизаційного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листа від виробника (-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іноземною мовою цей лист має супроводжуватись українським перекладом.</w:t>
      </w:r>
      <w:r/>
    </w:p>
    <w:p>
      <w:pPr>
        <w:ind w:firstLine="357"/>
        <w:jc w:val="both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Учасник якого визначено переможцем процедури закупівлі, перед укладанням договору проводить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науково-технічну експертизу та/або експертну оцінку та/або незалежну оцінку вартості послуг, за результатом аукціону, вказаних в Додатку 5 до тендерної документації та надає Замовнику документ що підтверджує вартість вказаних послуг. У раз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і надання документу де вартість послуг буде нижча ніж зазначив Учасник за результатом аукціону, Учасник-Переможець укладає разом із договором додаткову угоду на зменшення вартості за одиницю послуг (надати у складі тендерної документації гарантійний лист).</w:t>
      </w:r>
      <w:bookmarkEnd w:id="0"/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6 354 600,00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мільйон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триста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п’ятдесят чотири тисячі шістсот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9"/>
    <w:next w:val="70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1"/>
    <w:link w:val="710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9"/>
    <w:next w:val="70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9"/>
    <w:next w:val="70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9"/>
    <w:next w:val="70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9"/>
    <w:next w:val="70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9"/>
    <w:next w:val="70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9"/>
    <w:next w:val="70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9"/>
    <w:next w:val="70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9"/>
    <w:next w:val="70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1"/>
    <w:link w:val="33"/>
    <w:uiPriority w:val="10"/>
    <w:rPr>
      <w:sz w:val="48"/>
      <w:szCs w:val="48"/>
    </w:rPr>
  </w:style>
  <w:style w:type="paragraph" w:styleId="35">
    <w:name w:val="Subtitle"/>
    <w:basedOn w:val="709"/>
    <w:next w:val="70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1"/>
    <w:link w:val="35"/>
    <w:uiPriority w:val="11"/>
    <w:rPr>
      <w:sz w:val="24"/>
      <w:szCs w:val="24"/>
    </w:rPr>
  </w:style>
  <w:style w:type="paragraph" w:styleId="37">
    <w:name w:val="Quote"/>
    <w:basedOn w:val="709"/>
    <w:next w:val="70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9"/>
    <w:next w:val="70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1"/>
    <w:link w:val="41"/>
    <w:uiPriority w:val="99"/>
  </w:style>
  <w:style w:type="character" w:styleId="44">
    <w:name w:val="Footer Char"/>
    <w:basedOn w:val="711"/>
    <w:link w:val="720"/>
    <w:uiPriority w:val="99"/>
  </w:style>
  <w:style w:type="paragraph" w:styleId="45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0"/>
    <w:uiPriority w:val="99"/>
  </w:style>
  <w:style w:type="table" w:styleId="48">
    <w:name w:val="Table Grid Light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1"/>
    <w:uiPriority w:val="99"/>
    <w:unhideWhenUsed/>
    <w:rPr>
      <w:vertAlign w:val="superscript"/>
    </w:rPr>
  </w:style>
  <w:style w:type="paragraph" w:styleId="177">
    <w:name w:val="endnote text"/>
    <w:basedOn w:val="70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1"/>
    <w:uiPriority w:val="99"/>
    <w:semiHidden/>
    <w:unhideWhenUsed/>
    <w:rPr>
      <w:vertAlign w:val="superscript"/>
    </w:rPr>
  </w:style>
  <w:style w:type="paragraph" w:styleId="180">
    <w:name w:val="toc 1"/>
    <w:basedOn w:val="709"/>
    <w:next w:val="70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9"/>
    <w:next w:val="70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9"/>
    <w:next w:val="70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9"/>
    <w:next w:val="70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9"/>
    <w:next w:val="70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9"/>
    <w:next w:val="70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9"/>
    <w:next w:val="70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9"/>
    <w:next w:val="70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9"/>
    <w:next w:val="70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9"/>
    <w:next w:val="709"/>
    <w:uiPriority w:val="99"/>
    <w:unhideWhenUsed/>
    <w:pPr>
      <w:spacing w:after="0" w:afterAutospacing="0"/>
    </w:pPr>
  </w:style>
  <w:style w:type="paragraph" w:styleId="709" w:default="1">
    <w:name w:val="Normal"/>
    <w:qFormat/>
    <w:rPr>
      <w:lang w:val="uk-UA"/>
    </w:rPr>
  </w:style>
  <w:style w:type="paragraph" w:styleId="710">
    <w:name w:val="Heading 2"/>
    <w:basedOn w:val="709"/>
    <w:link w:val="72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paragraph" w:styleId="714">
    <w:name w:val="List Paragraph"/>
    <w:basedOn w:val="709"/>
    <w:link w:val="71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5" w:customStyle="1">
    <w:name w:val="Абзац списку Знак"/>
    <w:link w:val="714"/>
    <w:uiPriority w:val="34"/>
    <w:qFormat/>
    <w:rPr>
      <w:rFonts w:ascii="Calibri" w:hAnsi="Calibri" w:eastAsia="Calibri" w:cs="Calibri"/>
      <w:lang w:eastAsia="zh-CN"/>
    </w:rPr>
  </w:style>
  <w:style w:type="table" w:styleId="716">
    <w:name w:val="Table Grid"/>
    <w:basedOn w:val="7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7" w:customStyle="1">
    <w:name w:val="Сетка таблицы2"/>
    <w:basedOn w:val="712"/>
    <w:next w:val="71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8">
    <w:name w:val="Normal (Web)"/>
    <w:basedOn w:val="709"/>
    <w:link w:val="725"/>
    <w:unhideWhenUsed/>
    <w:qFormat/>
    <w:rPr>
      <w:rFonts w:ascii="Times New Roman" w:hAnsi="Times New Roman" w:cs="Times New Roman"/>
      <w:sz w:val="24"/>
      <w:szCs w:val="24"/>
    </w:rPr>
  </w:style>
  <w:style w:type="table" w:styleId="719" w:customStyle="1">
    <w:name w:val="Сетка таблицы1"/>
    <w:basedOn w:val="712"/>
    <w:next w:val="71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0">
    <w:name w:val="Footer"/>
    <w:basedOn w:val="709"/>
    <w:link w:val="72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1" w:customStyle="1">
    <w:name w:val="Нижній колонтитул Знак"/>
    <w:basedOn w:val="711"/>
    <w:link w:val="720"/>
    <w:uiPriority w:val="99"/>
    <w:rPr>
      <w:rFonts w:ascii="Calibri" w:hAnsi="Calibri" w:eastAsia="Calibri" w:cs="Calibri"/>
      <w:lang w:eastAsia="zh-CN"/>
    </w:rPr>
  </w:style>
  <w:style w:type="paragraph" w:styleId="72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3">
    <w:name w:val="Hyperlink"/>
    <w:basedOn w:val="711"/>
    <w:uiPriority w:val="99"/>
    <w:unhideWhenUsed/>
    <w:rPr>
      <w:color w:val="0563c1" w:themeColor="hyperlink"/>
      <w:u w:val="single"/>
    </w:rPr>
  </w:style>
  <w:style w:type="character" w:styleId="724" w:customStyle="1">
    <w:name w:val="xfm_93972720"/>
    <w:basedOn w:val="711"/>
  </w:style>
  <w:style w:type="character" w:styleId="725" w:customStyle="1">
    <w:name w:val="Звичайний (веб) Знак"/>
    <w:link w:val="718"/>
    <w:qFormat/>
    <w:rPr>
      <w:rFonts w:ascii="Times New Roman" w:hAnsi="Times New Roman" w:cs="Times New Roman"/>
      <w:sz w:val="24"/>
      <w:szCs w:val="24"/>
      <w:lang w:val="uk-UA"/>
    </w:rPr>
  </w:style>
  <w:style w:type="paragraph" w:styleId="726">
    <w:name w:val="Body Text 2"/>
    <w:basedOn w:val="709"/>
    <w:link w:val="72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7" w:customStyle="1">
    <w:name w:val="Основний текст 2 Знак"/>
    <w:basedOn w:val="711"/>
    <w:link w:val="72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9" w:customStyle="1">
    <w:name w:val="Заголовок 2 Знак"/>
    <w:basedOn w:val="711"/>
    <w:link w:val="71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0">
    <w:name w:val="No Spacing"/>
    <w:link w:val="73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1" w:customStyle="1">
    <w:name w:val="Без інтервалів Знак"/>
    <w:basedOn w:val="711"/>
    <w:link w:val="730"/>
    <w:uiPriority w:val="1"/>
    <w:rPr>
      <w:rFonts w:ascii="Calibri" w:hAnsi="Calibri" w:eastAsia="Calibri" w:cs="Times New Roman"/>
      <w:lang w:val="uk-UA"/>
    </w:rPr>
  </w:style>
  <w:style w:type="character" w:styleId="732" w:customStyle="1">
    <w:name w:val="Другое_"/>
    <w:basedOn w:val="711"/>
    <w:link w:val="733"/>
    <w:rPr>
      <w:rFonts w:ascii="Calibri" w:hAnsi="Calibri" w:eastAsia="Calibri" w:cs="Calibri"/>
      <w:sz w:val="20"/>
      <w:szCs w:val="20"/>
    </w:rPr>
  </w:style>
  <w:style w:type="paragraph" w:styleId="733" w:customStyle="1">
    <w:name w:val="Другое"/>
    <w:basedOn w:val="709"/>
    <w:link w:val="73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5" w:customStyle="1">
    <w:name w:val="Основной текст (2)_"/>
    <w:basedOn w:val="711"/>
    <w:link w:val="736"/>
    <w:rPr>
      <w:rFonts w:eastAsia="Times New Roman" w:cs="Times New Roman"/>
      <w:shd w:val="clear" w:color="auto" w:fill="ffffff"/>
    </w:rPr>
  </w:style>
  <w:style w:type="paragraph" w:styleId="736" w:customStyle="1">
    <w:name w:val="Основной текст (2)"/>
    <w:basedOn w:val="709"/>
    <w:link w:val="73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7" w:customStyle="1">
    <w:name w:val="Текст у виносці Знак"/>
    <w:basedOn w:val="711"/>
    <w:link w:val="73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8">
    <w:name w:val="Balloon Text"/>
    <w:basedOn w:val="709"/>
    <w:link w:val="73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9" w:customStyle="1">
    <w:name w:val="Текст у виносці Знак1"/>
    <w:basedOn w:val="71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0" w:customStyle="1">
    <w:name w:val="T23"/>
    <w:rPr>
      <w:rFonts w:hint="default" w:ascii="Times New Roman" w:hAnsi="Times New Roman" w:eastAsia="Times New Roman1" w:cs="Times New Roman"/>
    </w:rPr>
  </w:style>
  <w:style w:type="paragraph" w:styleId="741" w:customStyle="1">
    <w:name w:val="Абзац списку1"/>
    <w:basedOn w:val="709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2" w:customStyle="1">
    <w:name w:val="markedcontent"/>
    <w:basedOn w:val="711"/>
  </w:style>
  <w:style w:type="paragraph" w:styleId="743">
    <w:name w:val="annotation text"/>
    <w:basedOn w:val="709"/>
    <w:link w:val="744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4" w:customStyle="1">
    <w:name w:val="Текст примітки Знак"/>
    <w:basedOn w:val="711"/>
    <w:link w:val="74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148</cp:revision>
  <dcterms:created xsi:type="dcterms:W3CDTF">2022-11-01T12:47:00Z</dcterms:created>
  <dcterms:modified xsi:type="dcterms:W3CDTF">2023-12-20T11:59:01Z</dcterms:modified>
</cp:coreProperties>
</file>