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A308AB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173E1" w:rsidRPr="00A173E1">
        <w:rPr>
          <w:b w:val="0"/>
          <w:bCs w:val="0"/>
          <w:sz w:val="24"/>
          <w:szCs w:val="24"/>
        </w:rPr>
        <w:t>Закупівля програмного забезпечення для системи моніторингу продуктивності мережі та віртуальної інфраструктури та супутні послуги з впровадження програмного забезпечення за кодом CPV за ЄЗС ДК 021:2015: 48210000-3 Пакети мережевого програмного забезпечення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B600F1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A173E1">
        <w:rPr>
          <w:rFonts w:ascii="Times New Roman" w:hAnsi="Times New Roman" w:cs="Times New Roman"/>
          <w:sz w:val="24"/>
          <w:szCs w:val="24"/>
        </w:rPr>
        <w:t>1</w:t>
      </w:r>
      <w:r w:rsidR="00F60A0F" w:rsidRPr="00F90C90">
        <w:rPr>
          <w:rFonts w:ascii="Times New Roman" w:hAnsi="Times New Roman" w:cs="Times New Roman"/>
          <w:sz w:val="24"/>
          <w:szCs w:val="24"/>
        </w:rPr>
        <w:t>-</w:t>
      </w:r>
      <w:r w:rsidR="00A173E1">
        <w:rPr>
          <w:rFonts w:ascii="Times New Roman" w:hAnsi="Times New Roman" w:cs="Times New Roman"/>
          <w:sz w:val="24"/>
          <w:szCs w:val="24"/>
        </w:rPr>
        <w:t>15</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A173E1">
        <w:rPr>
          <w:rFonts w:ascii="Times New Roman" w:hAnsi="Times New Roman" w:cs="Times New Roman"/>
          <w:sz w:val="24"/>
          <w:szCs w:val="24"/>
        </w:rPr>
        <w:t>8344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27F9DA9" w:rsidR="0084770C" w:rsidRPr="00A173E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A173E1" w:rsidRPr="00A173E1">
        <w:rPr>
          <w:rFonts w:ascii="Times New Roman" w:hAnsi="Times New Roman" w:cs="Times New Roman"/>
          <w:sz w:val="24"/>
          <w:szCs w:val="24"/>
        </w:rPr>
        <w:t>Закупівля програмного забезпечення для системи моніторингу продуктивності мережі та віртуальної інфраструктури та супутні послуги з впровадження програмного забезпечення за кодом CPV за ЄЗС ДК 021:2015: 48210000-3 Пакети мережевого програмного забезпечення</w:t>
      </w:r>
    </w:p>
    <w:p w14:paraId="65A31151" w14:textId="77777777" w:rsidR="00A173E1" w:rsidRDefault="00A173E1" w:rsidP="00020576">
      <w:pPr>
        <w:widowControl w:val="0"/>
        <w:spacing w:after="0" w:line="240" w:lineRule="auto"/>
        <w:ind w:right="-1"/>
        <w:jc w:val="both"/>
        <w:rPr>
          <w:rFonts w:ascii="Times New Roman" w:eastAsia="Times New Roman" w:hAnsi="Times New Roman" w:cs="Times New Roman"/>
          <w:b/>
          <w:sz w:val="24"/>
          <w:szCs w:val="24"/>
          <w:lang w:eastAsia="ru-RU"/>
        </w:rPr>
      </w:pPr>
    </w:p>
    <w:p w14:paraId="1A3BBE89" w14:textId="77777777" w:rsidR="00A173E1" w:rsidRPr="00A173E1" w:rsidRDefault="00A173E1" w:rsidP="00A173E1">
      <w:pPr>
        <w:spacing w:after="0" w:line="240" w:lineRule="auto"/>
        <w:ind w:firstLine="357"/>
        <w:jc w:val="center"/>
        <w:rPr>
          <w:rFonts w:ascii="Times New Roman" w:hAnsi="Times New Roman" w:cs="Times New Roman"/>
          <w:b/>
          <w:color w:val="000000"/>
          <w:sz w:val="24"/>
          <w:szCs w:val="24"/>
        </w:rPr>
      </w:pPr>
      <w:r w:rsidRPr="00A173E1">
        <w:rPr>
          <w:rFonts w:ascii="Times New Roman" w:hAnsi="Times New Roman" w:cs="Times New Roman"/>
          <w:b/>
          <w:color w:val="000000"/>
          <w:sz w:val="24"/>
          <w:szCs w:val="24"/>
        </w:rPr>
        <w:t>ТЕХНІЧНІ ВИМОГИ</w:t>
      </w:r>
    </w:p>
    <w:p w14:paraId="0109601F" w14:textId="77777777" w:rsidR="00A173E1" w:rsidRPr="00A173E1" w:rsidRDefault="00A173E1" w:rsidP="00A173E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A173E1" w:rsidRPr="00A173E1" w14:paraId="6352970D" w14:textId="77777777" w:rsidTr="00A77932">
        <w:tc>
          <w:tcPr>
            <w:tcW w:w="562" w:type="dxa"/>
          </w:tcPr>
          <w:p w14:paraId="5FB92A46" w14:textId="77777777" w:rsidR="00A173E1" w:rsidRPr="00A173E1" w:rsidRDefault="00A173E1" w:rsidP="00A173E1">
            <w:pPr>
              <w:pStyle w:val="a6"/>
              <w:jc w:val="center"/>
              <w:rPr>
                <w:b/>
                <w:bCs/>
              </w:rPr>
            </w:pPr>
            <w:r w:rsidRPr="00A173E1">
              <w:rPr>
                <w:b/>
                <w:bCs/>
              </w:rPr>
              <w:t>№ п/п</w:t>
            </w:r>
          </w:p>
        </w:tc>
        <w:tc>
          <w:tcPr>
            <w:tcW w:w="5670" w:type="dxa"/>
          </w:tcPr>
          <w:p w14:paraId="5D97B54B" w14:textId="77777777" w:rsidR="00A173E1" w:rsidRPr="00A173E1" w:rsidRDefault="00A173E1" w:rsidP="00A173E1">
            <w:pPr>
              <w:pStyle w:val="a6"/>
              <w:jc w:val="center"/>
              <w:rPr>
                <w:b/>
                <w:bCs/>
              </w:rPr>
            </w:pPr>
            <w:r w:rsidRPr="00A173E1">
              <w:rPr>
                <w:b/>
                <w:bCs/>
              </w:rPr>
              <w:t>Назва системи</w:t>
            </w:r>
          </w:p>
        </w:tc>
        <w:tc>
          <w:tcPr>
            <w:tcW w:w="1701" w:type="dxa"/>
          </w:tcPr>
          <w:p w14:paraId="2012D8D6" w14:textId="77777777" w:rsidR="00A173E1" w:rsidRPr="00A173E1" w:rsidRDefault="00A173E1" w:rsidP="00A173E1">
            <w:pPr>
              <w:pStyle w:val="a6"/>
              <w:jc w:val="center"/>
              <w:rPr>
                <w:b/>
                <w:bCs/>
              </w:rPr>
            </w:pPr>
            <w:r w:rsidRPr="00A173E1">
              <w:rPr>
                <w:b/>
                <w:bCs/>
              </w:rPr>
              <w:t>Одиниця виміру</w:t>
            </w:r>
          </w:p>
        </w:tc>
        <w:tc>
          <w:tcPr>
            <w:tcW w:w="1701" w:type="dxa"/>
          </w:tcPr>
          <w:p w14:paraId="0E155460" w14:textId="77777777" w:rsidR="00A173E1" w:rsidRPr="00A173E1" w:rsidRDefault="00A173E1" w:rsidP="00A173E1">
            <w:pPr>
              <w:pStyle w:val="a6"/>
              <w:jc w:val="center"/>
              <w:rPr>
                <w:b/>
                <w:bCs/>
              </w:rPr>
            </w:pPr>
            <w:r w:rsidRPr="00A173E1">
              <w:rPr>
                <w:b/>
                <w:bCs/>
              </w:rPr>
              <w:t>Кількість</w:t>
            </w:r>
          </w:p>
        </w:tc>
      </w:tr>
      <w:tr w:rsidR="00A173E1" w:rsidRPr="00A173E1" w14:paraId="3A0DDC55" w14:textId="77777777" w:rsidTr="00A77932">
        <w:tc>
          <w:tcPr>
            <w:tcW w:w="562" w:type="dxa"/>
            <w:vAlign w:val="center"/>
          </w:tcPr>
          <w:p w14:paraId="7279C60E" w14:textId="77777777" w:rsidR="00A173E1" w:rsidRPr="00A173E1" w:rsidRDefault="00A173E1" w:rsidP="00A173E1">
            <w:pPr>
              <w:pStyle w:val="a6"/>
              <w:jc w:val="center"/>
            </w:pPr>
            <w:r w:rsidRPr="00A173E1">
              <w:rPr>
                <w:b/>
                <w:bCs/>
              </w:rPr>
              <w:t>1</w:t>
            </w:r>
          </w:p>
        </w:tc>
        <w:tc>
          <w:tcPr>
            <w:tcW w:w="5670" w:type="dxa"/>
            <w:vAlign w:val="center"/>
          </w:tcPr>
          <w:p w14:paraId="44AFFC59" w14:textId="77777777" w:rsidR="00A173E1" w:rsidRPr="00A173E1" w:rsidRDefault="00A173E1" w:rsidP="00A173E1">
            <w:pPr>
              <w:pStyle w:val="ae"/>
              <w:rPr>
                <w:rFonts w:ascii="Times New Roman" w:hAnsi="Times New Roman" w:cs="Times New Roman"/>
                <w:b/>
                <w:bCs/>
                <w:sz w:val="24"/>
                <w:szCs w:val="24"/>
              </w:rPr>
            </w:pPr>
            <w:proofErr w:type="spellStart"/>
            <w:r w:rsidRPr="00A173E1">
              <w:rPr>
                <w:rFonts w:ascii="Times New Roman" w:hAnsi="Times New Roman" w:cs="Times New Roman"/>
                <w:b/>
                <w:bCs/>
                <w:sz w:val="24"/>
                <w:szCs w:val="24"/>
              </w:rPr>
              <w:t>Програмне</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забезпечення</w:t>
            </w:r>
            <w:proofErr w:type="spellEnd"/>
            <w:r w:rsidRPr="00A173E1">
              <w:rPr>
                <w:rFonts w:ascii="Times New Roman" w:hAnsi="Times New Roman" w:cs="Times New Roman"/>
                <w:b/>
                <w:bCs/>
                <w:sz w:val="24"/>
                <w:szCs w:val="24"/>
              </w:rPr>
              <w:t xml:space="preserve"> для </w:t>
            </w:r>
            <w:proofErr w:type="spellStart"/>
            <w:r w:rsidRPr="00A173E1">
              <w:rPr>
                <w:rFonts w:ascii="Times New Roman" w:hAnsi="Times New Roman" w:cs="Times New Roman"/>
                <w:b/>
                <w:bCs/>
                <w:sz w:val="24"/>
                <w:szCs w:val="24"/>
              </w:rPr>
              <w:t>системи</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моніторингу</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продуктивності</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мережі</w:t>
            </w:r>
            <w:proofErr w:type="spellEnd"/>
            <w:r w:rsidRPr="00A173E1">
              <w:rPr>
                <w:rFonts w:ascii="Times New Roman" w:hAnsi="Times New Roman" w:cs="Times New Roman"/>
                <w:b/>
                <w:bCs/>
                <w:sz w:val="24"/>
                <w:szCs w:val="24"/>
              </w:rPr>
              <w:t xml:space="preserve"> та </w:t>
            </w:r>
            <w:proofErr w:type="spellStart"/>
            <w:r w:rsidRPr="00A173E1">
              <w:rPr>
                <w:rFonts w:ascii="Times New Roman" w:hAnsi="Times New Roman" w:cs="Times New Roman"/>
                <w:b/>
                <w:bCs/>
                <w:sz w:val="24"/>
                <w:szCs w:val="24"/>
              </w:rPr>
              <w:t>віртуальної</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інфраструктури</w:t>
            </w:r>
            <w:proofErr w:type="spellEnd"/>
          </w:p>
        </w:tc>
        <w:tc>
          <w:tcPr>
            <w:tcW w:w="1701" w:type="dxa"/>
            <w:vAlign w:val="center"/>
          </w:tcPr>
          <w:p w14:paraId="2E70C683" w14:textId="77777777" w:rsidR="00A173E1" w:rsidRPr="00A173E1" w:rsidRDefault="00A173E1" w:rsidP="00A173E1">
            <w:pPr>
              <w:pStyle w:val="a6"/>
              <w:jc w:val="center"/>
            </w:pPr>
            <w:proofErr w:type="spellStart"/>
            <w:r w:rsidRPr="00A173E1">
              <w:rPr>
                <w:b/>
              </w:rPr>
              <w:t>компл</w:t>
            </w:r>
            <w:proofErr w:type="spellEnd"/>
            <w:r w:rsidRPr="00A173E1">
              <w:rPr>
                <w:b/>
              </w:rPr>
              <w:t>.</w:t>
            </w:r>
          </w:p>
        </w:tc>
        <w:tc>
          <w:tcPr>
            <w:tcW w:w="1701" w:type="dxa"/>
            <w:vAlign w:val="center"/>
          </w:tcPr>
          <w:p w14:paraId="377C63CF" w14:textId="77777777" w:rsidR="00A173E1" w:rsidRPr="00A173E1" w:rsidRDefault="00A173E1" w:rsidP="00A173E1">
            <w:pPr>
              <w:pStyle w:val="a6"/>
              <w:jc w:val="center"/>
              <w:rPr>
                <w:b/>
                <w:bCs/>
              </w:rPr>
            </w:pPr>
            <w:r w:rsidRPr="00A173E1">
              <w:rPr>
                <w:b/>
                <w:bCs/>
              </w:rPr>
              <w:t>1</w:t>
            </w:r>
          </w:p>
        </w:tc>
      </w:tr>
      <w:tr w:rsidR="00A173E1" w:rsidRPr="00A173E1" w14:paraId="0BB46868" w14:textId="77777777" w:rsidTr="00A77932">
        <w:tc>
          <w:tcPr>
            <w:tcW w:w="562" w:type="dxa"/>
            <w:vAlign w:val="center"/>
          </w:tcPr>
          <w:p w14:paraId="40CA8471" w14:textId="77777777" w:rsidR="00A173E1" w:rsidRPr="00A173E1" w:rsidRDefault="00A173E1" w:rsidP="00A173E1">
            <w:pPr>
              <w:pStyle w:val="a6"/>
              <w:jc w:val="center"/>
              <w:rPr>
                <w:b/>
                <w:bCs/>
              </w:rPr>
            </w:pPr>
            <w:r w:rsidRPr="00A173E1">
              <w:rPr>
                <w:b/>
                <w:bCs/>
              </w:rPr>
              <w:t>2</w:t>
            </w:r>
          </w:p>
        </w:tc>
        <w:tc>
          <w:tcPr>
            <w:tcW w:w="5670" w:type="dxa"/>
            <w:vAlign w:val="center"/>
          </w:tcPr>
          <w:p w14:paraId="3447BB8B" w14:textId="77777777" w:rsidR="00A173E1" w:rsidRPr="00A173E1" w:rsidRDefault="00A173E1" w:rsidP="00A173E1">
            <w:pPr>
              <w:pStyle w:val="ae"/>
              <w:rPr>
                <w:rFonts w:ascii="Times New Roman" w:hAnsi="Times New Roman" w:cs="Times New Roman"/>
                <w:b/>
                <w:bCs/>
                <w:color w:val="000000" w:themeColor="text1"/>
                <w:sz w:val="24"/>
                <w:szCs w:val="24"/>
              </w:rPr>
            </w:pPr>
            <w:proofErr w:type="spellStart"/>
            <w:r w:rsidRPr="00A173E1">
              <w:rPr>
                <w:rFonts w:ascii="Times New Roman" w:hAnsi="Times New Roman" w:cs="Times New Roman"/>
                <w:b/>
                <w:bCs/>
                <w:color w:val="000000" w:themeColor="text1"/>
                <w:sz w:val="24"/>
                <w:szCs w:val="24"/>
              </w:rPr>
              <w:t>Впровадження</w:t>
            </w:r>
            <w:proofErr w:type="spellEnd"/>
            <w:r w:rsidRPr="00A173E1">
              <w:rPr>
                <w:rFonts w:ascii="Times New Roman" w:hAnsi="Times New Roman" w:cs="Times New Roman"/>
                <w:b/>
                <w:bCs/>
                <w:color w:val="000000" w:themeColor="text1"/>
                <w:sz w:val="24"/>
                <w:szCs w:val="24"/>
              </w:rPr>
              <w:t xml:space="preserve"> </w:t>
            </w:r>
            <w:proofErr w:type="spellStart"/>
            <w:r w:rsidRPr="00A173E1">
              <w:rPr>
                <w:rFonts w:ascii="Times New Roman" w:hAnsi="Times New Roman" w:cs="Times New Roman"/>
                <w:b/>
                <w:bCs/>
                <w:sz w:val="24"/>
                <w:szCs w:val="24"/>
              </w:rPr>
              <w:t>програмного</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забезпечення</w:t>
            </w:r>
            <w:proofErr w:type="spellEnd"/>
            <w:r w:rsidRPr="00A173E1">
              <w:rPr>
                <w:rFonts w:ascii="Times New Roman" w:hAnsi="Times New Roman" w:cs="Times New Roman"/>
                <w:b/>
                <w:bCs/>
                <w:sz w:val="24"/>
                <w:szCs w:val="24"/>
              </w:rPr>
              <w:t xml:space="preserve"> для </w:t>
            </w:r>
            <w:proofErr w:type="spellStart"/>
            <w:r w:rsidRPr="00A173E1">
              <w:rPr>
                <w:rFonts w:ascii="Times New Roman" w:hAnsi="Times New Roman" w:cs="Times New Roman"/>
                <w:b/>
                <w:bCs/>
                <w:sz w:val="24"/>
                <w:szCs w:val="24"/>
              </w:rPr>
              <w:t>системи</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моніторингу</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продуктивності</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мережі</w:t>
            </w:r>
            <w:proofErr w:type="spellEnd"/>
            <w:r w:rsidRPr="00A173E1">
              <w:rPr>
                <w:rFonts w:ascii="Times New Roman" w:hAnsi="Times New Roman" w:cs="Times New Roman"/>
                <w:b/>
                <w:bCs/>
                <w:sz w:val="24"/>
                <w:szCs w:val="24"/>
              </w:rPr>
              <w:t xml:space="preserve"> та </w:t>
            </w:r>
            <w:proofErr w:type="spellStart"/>
            <w:r w:rsidRPr="00A173E1">
              <w:rPr>
                <w:rFonts w:ascii="Times New Roman" w:hAnsi="Times New Roman" w:cs="Times New Roman"/>
                <w:b/>
                <w:bCs/>
                <w:sz w:val="24"/>
                <w:szCs w:val="24"/>
              </w:rPr>
              <w:t>віртуальної</w:t>
            </w:r>
            <w:proofErr w:type="spellEnd"/>
            <w:r w:rsidRPr="00A173E1">
              <w:rPr>
                <w:rFonts w:ascii="Times New Roman" w:hAnsi="Times New Roman" w:cs="Times New Roman"/>
                <w:b/>
                <w:bCs/>
                <w:sz w:val="24"/>
                <w:szCs w:val="24"/>
              </w:rPr>
              <w:t xml:space="preserve"> </w:t>
            </w:r>
            <w:proofErr w:type="spellStart"/>
            <w:r w:rsidRPr="00A173E1">
              <w:rPr>
                <w:rFonts w:ascii="Times New Roman" w:hAnsi="Times New Roman" w:cs="Times New Roman"/>
                <w:b/>
                <w:bCs/>
                <w:sz w:val="24"/>
                <w:szCs w:val="24"/>
              </w:rPr>
              <w:t>інфраструктури</w:t>
            </w:r>
            <w:proofErr w:type="spellEnd"/>
          </w:p>
        </w:tc>
        <w:tc>
          <w:tcPr>
            <w:tcW w:w="1701" w:type="dxa"/>
            <w:vAlign w:val="center"/>
          </w:tcPr>
          <w:p w14:paraId="3EF28AD4" w14:textId="77777777" w:rsidR="00A173E1" w:rsidRPr="00A173E1" w:rsidRDefault="00A173E1" w:rsidP="00A173E1">
            <w:pPr>
              <w:pStyle w:val="a6"/>
              <w:jc w:val="center"/>
              <w:rPr>
                <w:b/>
              </w:rPr>
            </w:pPr>
            <w:proofErr w:type="spellStart"/>
            <w:r w:rsidRPr="00A173E1">
              <w:rPr>
                <w:b/>
              </w:rPr>
              <w:t>посл</w:t>
            </w:r>
            <w:proofErr w:type="spellEnd"/>
            <w:r w:rsidRPr="00A173E1">
              <w:rPr>
                <w:b/>
              </w:rPr>
              <w:t>.</w:t>
            </w:r>
          </w:p>
        </w:tc>
        <w:tc>
          <w:tcPr>
            <w:tcW w:w="1701" w:type="dxa"/>
            <w:vAlign w:val="center"/>
          </w:tcPr>
          <w:p w14:paraId="79C4BDDB" w14:textId="77777777" w:rsidR="00A173E1" w:rsidRPr="00A173E1" w:rsidRDefault="00A173E1" w:rsidP="00A173E1">
            <w:pPr>
              <w:pStyle w:val="a6"/>
              <w:jc w:val="center"/>
              <w:rPr>
                <w:b/>
                <w:bCs/>
              </w:rPr>
            </w:pPr>
            <w:r w:rsidRPr="00A173E1">
              <w:rPr>
                <w:b/>
                <w:bCs/>
              </w:rPr>
              <w:t>1</w:t>
            </w:r>
          </w:p>
        </w:tc>
      </w:tr>
    </w:tbl>
    <w:p w14:paraId="23161C59" w14:textId="77777777" w:rsidR="00A173E1" w:rsidRPr="00A173E1" w:rsidRDefault="00A173E1" w:rsidP="00A173E1">
      <w:pPr>
        <w:pStyle w:val="a6"/>
        <w:spacing w:after="0" w:line="240" w:lineRule="auto"/>
        <w:jc w:val="both"/>
        <w:rPr>
          <w:b/>
          <w:bCs/>
          <w:i/>
          <w:iCs/>
          <w:lang w:eastAsia="ru-RU"/>
        </w:rPr>
      </w:pPr>
    </w:p>
    <w:p w14:paraId="224A4F83" w14:textId="77777777" w:rsidR="00A173E1" w:rsidRPr="00A173E1" w:rsidRDefault="00A173E1" w:rsidP="00A173E1">
      <w:pPr>
        <w:pStyle w:val="a6"/>
        <w:spacing w:after="0" w:line="240" w:lineRule="auto"/>
        <w:jc w:val="both"/>
        <w:rPr>
          <w:b/>
          <w:bCs/>
          <w:i/>
          <w:iCs/>
          <w:lang w:eastAsia="ru-RU"/>
        </w:rPr>
      </w:pPr>
      <w:r w:rsidRPr="00A173E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A173E1">
        <w:rPr>
          <w:b/>
          <w:bCs/>
          <w:i/>
          <w:iCs/>
          <w:lang w:eastAsia="ru-RU"/>
        </w:rPr>
        <w:t>проєкту</w:t>
      </w:r>
      <w:proofErr w:type="spellEnd"/>
      <w:r w:rsidRPr="00A173E1">
        <w:rPr>
          <w:b/>
          <w:bCs/>
          <w:i/>
          <w:iCs/>
          <w:lang w:eastAsia="ru-RU"/>
        </w:rPr>
        <w:t xml:space="preserve"> Договору до моменту його повного завершення</w:t>
      </w:r>
      <w:r w:rsidRPr="00A173E1">
        <w:rPr>
          <w:b/>
          <w:bCs/>
          <w:i/>
          <w:iCs/>
        </w:rPr>
        <w:t>.</w:t>
      </w:r>
    </w:p>
    <w:p w14:paraId="17D90B84" w14:textId="77777777" w:rsidR="00A173E1" w:rsidRPr="00A173E1" w:rsidRDefault="00A173E1" w:rsidP="00A173E1">
      <w:pPr>
        <w:spacing w:after="0" w:line="240" w:lineRule="auto"/>
        <w:rPr>
          <w:rFonts w:ascii="Times New Roman" w:hAnsi="Times New Roman" w:cs="Times New Roman"/>
          <w:b/>
          <w:sz w:val="24"/>
          <w:szCs w:val="24"/>
        </w:rPr>
      </w:pPr>
    </w:p>
    <w:p w14:paraId="7C9B7FE5" w14:textId="77777777" w:rsidR="00A173E1" w:rsidRPr="00A173E1" w:rsidRDefault="00A173E1" w:rsidP="00A173E1">
      <w:pPr>
        <w:pStyle w:val="a6"/>
        <w:spacing w:after="0" w:line="240" w:lineRule="auto"/>
        <w:ind w:firstLine="567"/>
        <w:jc w:val="both"/>
        <w:rPr>
          <w:color w:val="000000" w:themeColor="text1"/>
          <w:shd w:val="clear" w:color="auto" w:fill="FFFFFF"/>
        </w:rPr>
      </w:pPr>
      <w:r w:rsidRPr="00A173E1">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4867630" w14:textId="77777777" w:rsidR="00A173E1" w:rsidRPr="00A173E1" w:rsidRDefault="00A173E1" w:rsidP="00A173E1">
      <w:pPr>
        <w:spacing w:after="0" w:line="240" w:lineRule="auto"/>
        <w:ind w:firstLine="567"/>
        <w:jc w:val="both"/>
        <w:rPr>
          <w:rFonts w:ascii="Times New Roman" w:hAnsi="Times New Roman" w:cs="Times New Roman"/>
          <w:color w:val="000000" w:themeColor="text1"/>
          <w:sz w:val="24"/>
          <w:szCs w:val="24"/>
          <w:shd w:val="clear" w:color="auto" w:fill="FFFFFF"/>
        </w:rPr>
      </w:pPr>
      <w:r w:rsidRPr="00A173E1">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65711555" w14:textId="77777777" w:rsidR="00A173E1" w:rsidRPr="00A173E1" w:rsidRDefault="00A173E1" w:rsidP="00A173E1">
      <w:pPr>
        <w:spacing w:after="0" w:line="240" w:lineRule="auto"/>
        <w:ind w:firstLine="567"/>
        <w:jc w:val="both"/>
        <w:rPr>
          <w:rFonts w:ascii="Times New Roman" w:hAnsi="Times New Roman" w:cs="Times New Roman"/>
          <w:color w:val="000000" w:themeColor="text1"/>
          <w:sz w:val="24"/>
          <w:szCs w:val="24"/>
          <w:shd w:val="clear" w:color="auto" w:fill="FFFFFF"/>
        </w:rPr>
      </w:pPr>
      <w:r w:rsidRPr="00A173E1">
        <w:rPr>
          <w:rFonts w:ascii="Times New Roman" w:hAnsi="Times New Roman" w:cs="Times New Roman"/>
          <w:color w:val="000000" w:themeColor="text1"/>
          <w:sz w:val="24"/>
          <w:szCs w:val="24"/>
          <w:shd w:val="clear" w:color="auto" w:fill="FFFFFF"/>
        </w:rPr>
        <w:lastRenderedPageBreak/>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E4C4E7F"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color w:val="000000" w:themeColor="text1"/>
          <w:sz w:val="24"/>
          <w:szCs w:val="24"/>
          <w:shd w:val="clear" w:color="auto" w:fill="FFFFFF"/>
        </w:rPr>
        <w:t xml:space="preserve">4. </w:t>
      </w:r>
      <w:r w:rsidRPr="00A173E1">
        <w:rPr>
          <w:rFonts w:ascii="Times New Roman" w:hAnsi="Times New Roman" w:cs="Times New Roman"/>
          <w:sz w:val="24"/>
          <w:szCs w:val="24"/>
        </w:rPr>
        <w:t xml:space="preserve">Всі елементи повинні бути сертифіковані в Україні (надати </w:t>
      </w:r>
      <w:proofErr w:type="spellStart"/>
      <w:r w:rsidRPr="00A173E1">
        <w:rPr>
          <w:rFonts w:ascii="Times New Roman" w:hAnsi="Times New Roman" w:cs="Times New Roman"/>
          <w:sz w:val="24"/>
          <w:szCs w:val="24"/>
        </w:rPr>
        <w:t>сканкопії</w:t>
      </w:r>
      <w:proofErr w:type="spellEnd"/>
      <w:r w:rsidRPr="00A173E1">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06C3834" w14:textId="77777777" w:rsidR="00A173E1" w:rsidRPr="00A173E1" w:rsidRDefault="00A173E1" w:rsidP="00A173E1">
      <w:pPr>
        <w:spacing w:after="0" w:line="240" w:lineRule="auto"/>
        <w:ind w:firstLine="567"/>
        <w:jc w:val="both"/>
        <w:rPr>
          <w:rFonts w:ascii="Times New Roman" w:hAnsi="Times New Roman" w:cs="Times New Roman"/>
          <w:sz w:val="24"/>
          <w:szCs w:val="24"/>
        </w:rPr>
      </w:pPr>
      <w:bookmarkStart w:id="0" w:name="_Hlk131598067"/>
      <w:r w:rsidRPr="00A173E1">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A173E1">
        <w:rPr>
          <w:rFonts w:ascii="Times New Roman" w:hAnsi="Times New Roman" w:cs="Times New Roman"/>
          <w:sz w:val="24"/>
          <w:szCs w:val="24"/>
        </w:rPr>
        <w:t>проєкту</w:t>
      </w:r>
      <w:proofErr w:type="spellEnd"/>
      <w:r w:rsidRPr="00A173E1">
        <w:rPr>
          <w:rFonts w:ascii="Times New Roman" w:hAnsi="Times New Roman" w:cs="Times New Roman"/>
          <w:sz w:val="24"/>
          <w:szCs w:val="24"/>
        </w:rPr>
        <w:t xml:space="preserve"> Договору.</w:t>
      </w:r>
      <w:bookmarkStart w:id="1" w:name="_Hlk131682113"/>
      <w:bookmarkEnd w:id="0"/>
    </w:p>
    <w:p w14:paraId="22B4E31B"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10794FD7"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A173E1">
        <w:rPr>
          <w:rFonts w:ascii="Times New Roman" w:hAnsi="Times New Roman" w:cs="Times New Roman"/>
          <w:sz w:val="24"/>
          <w:szCs w:val="24"/>
        </w:rPr>
        <w:t>проєкті</w:t>
      </w:r>
      <w:proofErr w:type="spellEnd"/>
      <w:r w:rsidRPr="00A173E1">
        <w:rPr>
          <w:rFonts w:ascii="Times New Roman" w:hAnsi="Times New Roman" w:cs="Times New Roman"/>
          <w:sz w:val="24"/>
          <w:szCs w:val="24"/>
        </w:rPr>
        <w:t xml:space="preserve"> Договору.</w:t>
      </w:r>
    </w:p>
    <w:p w14:paraId="18F89418" w14:textId="77777777" w:rsidR="00A173E1" w:rsidRPr="00A173E1" w:rsidRDefault="00A173E1" w:rsidP="00A173E1">
      <w:pPr>
        <w:spacing w:after="0" w:line="240" w:lineRule="auto"/>
        <w:jc w:val="both"/>
        <w:rPr>
          <w:rFonts w:ascii="Times New Roman" w:hAnsi="Times New Roman" w:cs="Times New Roman"/>
          <w:sz w:val="24"/>
          <w:szCs w:val="24"/>
        </w:rPr>
      </w:pPr>
      <w:r w:rsidRPr="00A173E1">
        <w:rPr>
          <w:rFonts w:ascii="Times New Roman" w:hAnsi="Times New Roman" w:cs="Times New Roman"/>
          <w:sz w:val="24"/>
          <w:szCs w:val="24"/>
        </w:rPr>
        <w:t>8. Учаснику необхідно надати у складі тендерної пропозиції гарантійний лист щодо надання супутніх послуг з  впровадження програмного забезпечення, що пропонуватиметься Учасником у складі тендерної пропозиції.</w:t>
      </w:r>
    </w:p>
    <w:p w14:paraId="13561DE9" w14:textId="77777777" w:rsidR="00A173E1" w:rsidRPr="00A173E1" w:rsidRDefault="00A173E1" w:rsidP="00A173E1">
      <w:pPr>
        <w:spacing w:after="0" w:line="240" w:lineRule="auto"/>
        <w:rPr>
          <w:rFonts w:ascii="Times New Roman" w:hAnsi="Times New Roman" w:cs="Times New Roman"/>
          <w:sz w:val="24"/>
          <w:szCs w:val="24"/>
        </w:rPr>
      </w:pPr>
    </w:p>
    <w:p w14:paraId="69C6282B" w14:textId="77777777" w:rsidR="00A173E1" w:rsidRPr="00A173E1" w:rsidRDefault="00A173E1" w:rsidP="00A173E1">
      <w:pPr>
        <w:spacing w:after="0" w:line="240" w:lineRule="auto"/>
        <w:jc w:val="center"/>
        <w:rPr>
          <w:rFonts w:ascii="Times New Roman" w:eastAsia="Calibri" w:hAnsi="Times New Roman" w:cs="Times New Roman"/>
          <w:b/>
          <w:color w:val="000000" w:themeColor="text1"/>
          <w:sz w:val="24"/>
          <w:szCs w:val="24"/>
          <w:lang w:eastAsia="zh-CN"/>
        </w:rPr>
      </w:pPr>
      <w:r w:rsidRPr="00A173E1">
        <w:rPr>
          <w:rFonts w:ascii="Times New Roman" w:eastAsia="Calibri" w:hAnsi="Times New Roman" w:cs="Times New Roman"/>
          <w:b/>
          <w:color w:val="000000" w:themeColor="text1"/>
          <w:sz w:val="24"/>
          <w:szCs w:val="24"/>
          <w:lang w:eastAsia="zh-CN"/>
        </w:rPr>
        <w:t xml:space="preserve">ТЕХНІЧНЕ ЗАВДАННЯ </w:t>
      </w:r>
    </w:p>
    <w:p w14:paraId="71FFE01F" w14:textId="77777777" w:rsidR="00A173E1" w:rsidRPr="00A173E1" w:rsidRDefault="00A173E1" w:rsidP="00A173E1">
      <w:pPr>
        <w:spacing w:after="0" w:line="240" w:lineRule="auto"/>
        <w:jc w:val="center"/>
        <w:rPr>
          <w:rFonts w:ascii="Times New Roman" w:eastAsia="Calibri" w:hAnsi="Times New Roman" w:cs="Times New Roman"/>
          <w:b/>
          <w:color w:val="000000" w:themeColor="text1"/>
          <w:sz w:val="24"/>
          <w:szCs w:val="24"/>
          <w:lang w:eastAsia="zh-CN"/>
        </w:rPr>
      </w:pPr>
    </w:p>
    <w:p w14:paraId="0045F1B0" w14:textId="77777777" w:rsidR="00A173E1" w:rsidRPr="00A173E1" w:rsidRDefault="00A173E1" w:rsidP="00A173E1">
      <w:pPr>
        <w:spacing w:after="0" w:line="240" w:lineRule="auto"/>
        <w:jc w:val="center"/>
        <w:rPr>
          <w:rFonts w:ascii="Times New Roman" w:hAnsi="Times New Roman" w:cs="Times New Roman"/>
          <w:color w:val="000000" w:themeColor="text1"/>
          <w:sz w:val="24"/>
          <w:szCs w:val="24"/>
        </w:rPr>
      </w:pPr>
    </w:p>
    <w:tbl>
      <w:tblPr>
        <w:tblW w:w="10598" w:type="dxa"/>
        <w:tblInd w:w="-397" w:type="dxa"/>
        <w:tblLayout w:type="fixed"/>
        <w:tblLook w:val="0400" w:firstRow="0" w:lastRow="0" w:firstColumn="0" w:lastColumn="0" w:noHBand="0" w:noVBand="1"/>
      </w:tblPr>
      <w:tblGrid>
        <w:gridCol w:w="676"/>
        <w:gridCol w:w="9922"/>
      </w:tblGrid>
      <w:tr w:rsidR="00A173E1" w:rsidRPr="00A173E1" w14:paraId="47A70BDC" w14:textId="77777777" w:rsidTr="00A77932">
        <w:trPr>
          <w:trHeight w:val="641"/>
        </w:trPr>
        <w:tc>
          <w:tcPr>
            <w:tcW w:w="676" w:type="dxa"/>
            <w:tcBorders>
              <w:top w:val="single" w:sz="4" w:space="0" w:color="000000"/>
              <w:left w:val="single" w:sz="4" w:space="0" w:color="000000"/>
              <w:bottom w:val="single" w:sz="4" w:space="0" w:color="000000"/>
              <w:right w:val="single" w:sz="4" w:space="0" w:color="000000"/>
            </w:tcBorders>
            <w:vAlign w:val="center"/>
          </w:tcPr>
          <w:p w14:paraId="16559A1F"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w:t>
            </w:r>
          </w:p>
        </w:tc>
        <w:tc>
          <w:tcPr>
            <w:tcW w:w="9922" w:type="dxa"/>
            <w:tcBorders>
              <w:top w:val="single" w:sz="4" w:space="0" w:color="000000"/>
              <w:left w:val="single" w:sz="4" w:space="0" w:color="000000"/>
              <w:bottom w:val="single" w:sz="4" w:space="0" w:color="000000"/>
              <w:right w:val="single" w:sz="4" w:space="0" w:color="auto"/>
            </w:tcBorders>
            <w:vAlign w:val="center"/>
          </w:tcPr>
          <w:p w14:paraId="6D065F0B" w14:textId="77777777" w:rsidR="00A173E1" w:rsidRPr="00A173E1" w:rsidRDefault="00A173E1" w:rsidP="00A173E1">
            <w:pPr>
              <w:pStyle w:val="normal1"/>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 xml:space="preserve">Опис необхідних характеристик та особливостей </w:t>
            </w:r>
          </w:p>
          <w:p w14:paraId="287911A7" w14:textId="77777777" w:rsidR="00A173E1" w:rsidRPr="00A173E1" w:rsidRDefault="00A173E1" w:rsidP="00A173E1">
            <w:pPr>
              <w:pStyle w:val="normal1"/>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програмного рішення</w:t>
            </w:r>
          </w:p>
        </w:tc>
      </w:tr>
      <w:tr w:rsidR="00A173E1" w:rsidRPr="00A173E1" w14:paraId="10E8085A"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6E7EC8BE"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Загальні вимоги</w:t>
            </w:r>
          </w:p>
        </w:tc>
      </w:tr>
      <w:tr w:rsidR="00A173E1" w:rsidRPr="00A173E1" w14:paraId="46C7984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0952AC1"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65960195"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збирати аналітику від </w:t>
            </w:r>
            <w:r w:rsidRPr="00A173E1">
              <w:rPr>
                <w:rFonts w:ascii="Times New Roman" w:eastAsia="Times New Roman" w:hAnsi="Times New Roman" w:cs="Times New Roman"/>
                <w:sz w:val="24"/>
                <w:szCs w:val="24"/>
                <w:lang w:val="ru-RU"/>
              </w:rPr>
              <w:t>170</w:t>
            </w:r>
            <w:r w:rsidRPr="00A173E1">
              <w:rPr>
                <w:rFonts w:ascii="Times New Roman" w:eastAsia="Times New Roman" w:hAnsi="Times New Roman" w:cs="Times New Roman"/>
                <w:sz w:val="24"/>
                <w:szCs w:val="24"/>
              </w:rPr>
              <w:t xml:space="preserve"> мережевих пристроїв.</w:t>
            </w:r>
          </w:p>
        </w:tc>
      </w:tr>
      <w:tr w:rsidR="00A173E1" w:rsidRPr="00A173E1" w14:paraId="121C769D"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722AC6BE"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6E176221"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Представниками інтегратора повинно бути реалізовано розгортання системи на технічному майданчику замовника.</w:t>
            </w:r>
          </w:p>
        </w:tc>
      </w:tr>
      <w:tr w:rsidR="00A173E1" w:rsidRPr="00A173E1" w14:paraId="0F11700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68FF2ACB" w14:textId="77777777" w:rsidR="00A173E1" w:rsidRPr="00A173E1" w:rsidRDefault="00A173E1" w:rsidP="00A173E1">
            <w:pPr>
              <w:pStyle w:val="normal1"/>
              <w:numPr>
                <w:ilvl w:val="0"/>
                <w:numId w:val="5"/>
              </w:numPr>
              <w:pBdr>
                <w:top w:val="nil"/>
                <w:left w:val="nil"/>
                <w:bottom w:val="nil"/>
                <w:right w:val="nil"/>
                <w:between w:val="nil"/>
              </w:pBd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0198BB5"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Загальний термін дії ліцензії на програмний продукт повинен бути не менше ніж 36 місяців.</w:t>
            </w:r>
          </w:p>
        </w:tc>
      </w:tr>
      <w:tr w:rsidR="00A173E1" w:rsidRPr="00A173E1" w14:paraId="55079F74" w14:textId="77777777" w:rsidTr="00A77932">
        <w:trPr>
          <w:trHeight w:val="303"/>
        </w:trPr>
        <w:tc>
          <w:tcPr>
            <w:tcW w:w="676" w:type="dxa"/>
            <w:tcBorders>
              <w:top w:val="single" w:sz="4" w:space="0" w:color="000000"/>
              <w:left w:val="single" w:sz="4" w:space="0" w:color="000000"/>
              <w:bottom w:val="single" w:sz="4" w:space="0" w:color="000000"/>
              <w:right w:val="single" w:sz="4" w:space="0" w:color="000000"/>
            </w:tcBorders>
          </w:tcPr>
          <w:p w14:paraId="2B047FA3"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66A14CAE"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надати можливість  швидкого розгортання (за 1 тиждень) без критичного впливу на роботу співробітників та переривання робочого процесу.</w:t>
            </w:r>
          </w:p>
        </w:tc>
      </w:tr>
      <w:tr w:rsidR="00A173E1" w:rsidRPr="00A173E1" w14:paraId="4E3DBD7B" w14:textId="77777777" w:rsidTr="00A77932">
        <w:trPr>
          <w:trHeight w:val="303"/>
        </w:trPr>
        <w:tc>
          <w:tcPr>
            <w:tcW w:w="676" w:type="dxa"/>
            <w:tcBorders>
              <w:top w:val="single" w:sz="4" w:space="0" w:color="000000"/>
              <w:left w:val="single" w:sz="4" w:space="0" w:color="000000"/>
              <w:bottom w:val="single" w:sz="4" w:space="0" w:color="000000"/>
              <w:right w:val="single" w:sz="4" w:space="0" w:color="000000"/>
            </w:tcBorders>
          </w:tcPr>
          <w:p w14:paraId="207D02B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76DE6E63"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Адміністрування та щоденна робота з системою здійснюється через веб-інтерфейс</w:t>
            </w:r>
          </w:p>
        </w:tc>
      </w:tr>
      <w:tr w:rsidR="00A173E1" w:rsidRPr="00A173E1" w14:paraId="582DD296" w14:textId="77777777" w:rsidTr="00A77932">
        <w:trPr>
          <w:trHeight w:val="303"/>
        </w:trPr>
        <w:tc>
          <w:tcPr>
            <w:tcW w:w="676" w:type="dxa"/>
            <w:tcBorders>
              <w:top w:val="single" w:sz="4" w:space="0" w:color="000000"/>
              <w:left w:val="single" w:sz="4" w:space="0" w:color="000000"/>
              <w:bottom w:val="single" w:sz="4" w:space="0" w:color="000000"/>
              <w:right w:val="single" w:sz="4" w:space="0" w:color="000000"/>
            </w:tcBorders>
          </w:tcPr>
          <w:p w14:paraId="319AF8B8"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214466F0"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двох факторну аутентифікацію для доступу на веб-портал.</w:t>
            </w:r>
          </w:p>
        </w:tc>
      </w:tr>
      <w:tr w:rsidR="00A173E1" w:rsidRPr="00A173E1" w14:paraId="68990D27" w14:textId="77777777" w:rsidTr="00A77932">
        <w:trPr>
          <w:trHeight w:val="303"/>
        </w:trPr>
        <w:tc>
          <w:tcPr>
            <w:tcW w:w="676" w:type="dxa"/>
            <w:tcBorders>
              <w:top w:val="single" w:sz="4" w:space="0" w:color="000000"/>
              <w:left w:val="single" w:sz="4" w:space="0" w:color="000000"/>
              <w:bottom w:val="single" w:sz="4" w:space="0" w:color="000000"/>
              <w:right w:val="single" w:sz="4" w:space="0" w:color="000000"/>
            </w:tcBorders>
          </w:tcPr>
          <w:p w14:paraId="70F4B6AE"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77112A84"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повинен розмежовувати привілеї користувачів на 2 категорії: адміністратор та акаунт з правами тільки для читання.</w:t>
            </w:r>
          </w:p>
        </w:tc>
      </w:tr>
      <w:tr w:rsidR="00A173E1" w:rsidRPr="00A173E1" w14:paraId="2244A063" w14:textId="77777777" w:rsidTr="00A77932">
        <w:trPr>
          <w:trHeight w:val="303"/>
        </w:trPr>
        <w:tc>
          <w:tcPr>
            <w:tcW w:w="676" w:type="dxa"/>
            <w:tcBorders>
              <w:top w:val="single" w:sz="4" w:space="0" w:color="000000"/>
              <w:left w:val="single" w:sz="4" w:space="0" w:color="000000"/>
              <w:bottom w:val="single" w:sz="4" w:space="0" w:color="000000"/>
              <w:right w:val="single" w:sz="4" w:space="0" w:color="000000"/>
            </w:tcBorders>
          </w:tcPr>
          <w:p w14:paraId="529A6D1B"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095879C8"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Можливість розмежування доступу до веб-інтерфейсу для кількох відділень або департаментів з незалежним управлінням та аналітикою для кожного з них.</w:t>
            </w:r>
          </w:p>
        </w:tc>
      </w:tr>
      <w:tr w:rsidR="00A173E1" w:rsidRPr="00A173E1" w14:paraId="6571CF3C" w14:textId="77777777" w:rsidTr="00A77932">
        <w:trPr>
          <w:trHeight w:val="980"/>
        </w:trPr>
        <w:tc>
          <w:tcPr>
            <w:tcW w:w="676" w:type="dxa"/>
            <w:tcBorders>
              <w:top w:val="single" w:sz="4" w:space="0" w:color="000000"/>
              <w:left w:val="single" w:sz="4" w:space="0" w:color="000000"/>
              <w:bottom w:val="single" w:sz="4" w:space="0" w:color="000000"/>
              <w:right w:val="single" w:sz="4" w:space="0" w:color="000000"/>
            </w:tcBorders>
          </w:tcPr>
          <w:p w14:paraId="3DC9A851"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7C4B07A9"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бути гнучкою в налаштуванні, деталізації контенту на різних рівнях для отримання додаткової інформації про події.</w:t>
            </w:r>
          </w:p>
        </w:tc>
      </w:tr>
      <w:tr w:rsidR="00A173E1" w:rsidRPr="00A173E1" w14:paraId="23D9B6C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A281FE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505D3C28"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будувати графіки продуктивності пристроїв та застосунків в режимі реального часу або за часовим інтервалом.</w:t>
            </w:r>
          </w:p>
        </w:tc>
      </w:tr>
      <w:tr w:rsidR="00A173E1" w:rsidRPr="00A173E1" w14:paraId="1F9B7F92"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7246C25E"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Модуль автоматичного визначення топології мережі</w:t>
            </w:r>
          </w:p>
        </w:tc>
      </w:tr>
      <w:tr w:rsidR="00A173E1" w:rsidRPr="00A173E1" w14:paraId="4323CB78"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2B79BB6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78178DE6"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автоматично побудувати карту </w:t>
            </w:r>
            <w:proofErr w:type="spellStart"/>
            <w:r w:rsidRPr="00A173E1">
              <w:rPr>
                <w:rFonts w:ascii="Times New Roman" w:eastAsia="Times New Roman" w:hAnsi="Times New Roman" w:cs="Times New Roman"/>
                <w:sz w:val="24"/>
                <w:szCs w:val="24"/>
              </w:rPr>
              <w:t>залежностей</w:t>
            </w:r>
            <w:proofErr w:type="spellEnd"/>
            <w:r w:rsidRPr="00A173E1">
              <w:rPr>
                <w:rFonts w:ascii="Times New Roman" w:eastAsia="Times New Roman" w:hAnsi="Times New Roman" w:cs="Times New Roman"/>
                <w:sz w:val="24"/>
                <w:szCs w:val="24"/>
              </w:rPr>
              <w:t xml:space="preserve"> об'єктів:</w:t>
            </w:r>
          </w:p>
          <w:p w14:paraId="3AAB99D4"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топологію мережі;</w:t>
            </w:r>
          </w:p>
          <w:p w14:paraId="64393BCC"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VLAN;</w:t>
            </w:r>
          </w:p>
          <w:p w14:paraId="02B7DC87"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мережеві зв'язки;</w:t>
            </w:r>
          </w:p>
          <w:p w14:paraId="6293CB3B"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сервери;</w:t>
            </w:r>
          </w:p>
          <w:p w14:paraId="5AE88C5F"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файлові системи;</w:t>
            </w:r>
          </w:p>
          <w:p w14:paraId="265E059C"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SAN;</w:t>
            </w:r>
          </w:p>
          <w:p w14:paraId="0009F722"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NAS;</w:t>
            </w:r>
          </w:p>
          <w:p w14:paraId="195A9571"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застосунки.</w:t>
            </w:r>
          </w:p>
        </w:tc>
      </w:tr>
      <w:tr w:rsidR="00A173E1" w:rsidRPr="00A173E1" w14:paraId="721FE555"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4F41A3A9"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43075B2"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будувати інтерактивну карту мережі з </w:t>
            </w:r>
            <w:proofErr w:type="spellStart"/>
            <w:r w:rsidRPr="00A173E1">
              <w:rPr>
                <w:rFonts w:ascii="Times New Roman" w:eastAsia="Times New Roman" w:hAnsi="Times New Roman" w:cs="Times New Roman"/>
                <w:sz w:val="24"/>
                <w:szCs w:val="24"/>
              </w:rPr>
              <w:t>залежностями</w:t>
            </w:r>
            <w:proofErr w:type="spellEnd"/>
            <w:r w:rsidRPr="00A173E1">
              <w:rPr>
                <w:rFonts w:ascii="Times New Roman" w:eastAsia="Times New Roman" w:hAnsi="Times New Roman" w:cs="Times New Roman"/>
                <w:sz w:val="24"/>
                <w:szCs w:val="24"/>
              </w:rPr>
              <w:t xml:space="preserve"> між пристроями</w:t>
            </w:r>
          </w:p>
        </w:tc>
      </w:tr>
      <w:tr w:rsidR="00A173E1" w:rsidRPr="00A173E1" w14:paraId="4757102B"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4CADEC82"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lastRenderedPageBreak/>
              <w:t>Модуль створення сервісних контейнерів</w:t>
            </w:r>
          </w:p>
        </w:tc>
      </w:tr>
      <w:tr w:rsidR="00A173E1" w:rsidRPr="00A173E1" w14:paraId="75A51692"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72140C66"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062C898A"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надавати можливість створення сервісних контейнерів відповідно від ролі співробітника</w:t>
            </w:r>
          </w:p>
        </w:tc>
      </w:tr>
      <w:tr w:rsidR="00A173E1" w:rsidRPr="00A173E1" w14:paraId="0959D142" w14:textId="77777777" w:rsidTr="00A77932">
        <w:trPr>
          <w:trHeight w:val="306"/>
        </w:trPr>
        <w:tc>
          <w:tcPr>
            <w:tcW w:w="676" w:type="dxa"/>
            <w:tcBorders>
              <w:top w:val="single" w:sz="4" w:space="0" w:color="000000"/>
              <w:left w:val="single" w:sz="4" w:space="0" w:color="000000"/>
              <w:bottom w:val="single" w:sz="4" w:space="0" w:color="000000"/>
              <w:right w:val="single" w:sz="4" w:space="0" w:color="000000"/>
            </w:tcBorders>
          </w:tcPr>
          <w:p w14:paraId="595FDC05"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4D8884C1"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надавати можливість створення звітів про результати роботи сервісних контейнерів</w:t>
            </w:r>
          </w:p>
        </w:tc>
      </w:tr>
      <w:tr w:rsidR="00A173E1" w:rsidRPr="00A173E1" w14:paraId="5405EC6D"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5BD8F17"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64275572"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повідомляти про невдалі спроби запуску тестів.</w:t>
            </w:r>
          </w:p>
        </w:tc>
      </w:tr>
      <w:tr w:rsidR="00A173E1" w:rsidRPr="00A173E1" w14:paraId="0EA5E11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24BEEA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360F93CD"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повідомляти перевищення порогового значення заданого користувачем.</w:t>
            </w:r>
          </w:p>
        </w:tc>
      </w:tr>
      <w:tr w:rsidR="00A173E1" w:rsidRPr="00A173E1" w14:paraId="52803A4C"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0CB9E483"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 xml:space="preserve">Модуль аналізу </w:t>
            </w:r>
            <w:proofErr w:type="spellStart"/>
            <w:r w:rsidRPr="00A173E1">
              <w:rPr>
                <w:rFonts w:ascii="Times New Roman" w:eastAsia="Times New Roman" w:hAnsi="Times New Roman" w:cs="Times New Roman"/>
                <w:b/>
                <w:sz w:val="24"/>
                <w:szCs w:val="24"/>
              </w:rPr>
              <w:t>NetFlow</w:t>
            </w:r>
            <w:proofErr w:type="spellEnd"/>
          </w:p>
        </w:tc>
      </w:tr>
      <w:tr w:rsidR="00A173E1" w:rsidRPr="00A173E1" w14:paraId="2E565F92"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C49651B"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46B87B13"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підсвічувати причину надлишкового навантаження системних ресурсів.</w:t>
            </w:r>
          </w:p>
        </w:tc>
      </w:tr>
      <w:tr w:rsidR="00A173E1" w:rsidRPr="00A173E1" w14:paraId="522E7E6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429D2B72"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298923A"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підсвічувати обмеження в пропускній здатності мережі.</w:t>
            </w:r>
          </w:p>
        </w:tc>
      </w:tr>
      <w:tr w:rsidR="00A173E1" w:rsidRPr="00A173E1" w14:paraId="20092F53"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CB5271D"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2CAA659E"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за допомогою вбудованих набору правил будувати ланцюжок </w:t>
            </w:r>
            <w:proofErr w:type="spellStart"/>
            <w:r w:rsidRPr="00A173E1">
              <w:rPr>
                <w:rFonts w:ascii="Times New Roman" w:eastAsia="Times New Roman" w:hAnsi="Times New Roman" w:cs="Times New Roman"/>
                <w:sz w:val="24"/>
                <w:szCs w:val="24"/>
              </w:rPr>
              <w:t>залежностей</w:t>
            </w:r>
            <w:proofErr w:type="spellEnd"/>
            <w:r w:rsidRPr="00A173E1">
              <w:rPr>
                <w:rFonts w:ascii="Times New Roman" w:eastAsia="Times New Roman" w:hAnsi="Times New Roman" w:cs="Times New Roman"/>
                <w:sz w:val="24"/>
                <w:szCs w:val="24"/>
              </w:rPr>
              <w:t xml:space="preserve"> при якому вказувати на недоліки наявної ситуації та вплив на майбутню продуктивність інфраструктури</w:t>
            </w:r>
          </w:p>
        </w:tc>
      </w:tr>
      <w:tr w:rsidR="00A173E1" w:rsidRPr="00A173E1" w14:paraId="7850C8D8"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B693D39"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F5E84C8"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отримання даних через:</w:t>
            </w:r>
          </w:p>
          <w:p w14:paraId="5818B4A9"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NetFlow</w:t>
            </w:r>
            <w:proofErr w:type="spellEnd"/>
            <w:r w:rsidRPr="00A173E1">
              <w:rPr>
                <w:rFonts w:ascii="Times New Roman" w:eastAsia="Times New Roman" w:hAnsi="Times New Roman" w:cs="Times New Roman"/>
                <w:sz w:val="24"/>
                <w:szCs w:val="24"/>
              </w:rPr>
              <w:t>;</w:t>
            </w:r>
          </w:p>
          <w:p w14:paraId="46D7A697"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sFlow</w:t>
            </w:r>
            <w:proofErr w:type="spellEnd"/>
            <w:r w:rsidRPr="00A173E1">
              <w:rPr>
                <w:rFonts w:ascii="Times New Roman" w:eastAsia="Times New Roman" w:hAnsi="Times New Roman" w:cs="Times New Roman"/>
                <w:sz w:val="24"/>
                <w:szCs w:val="24"/>
              </w:rPr>
              <w:t>;</w:t>
            </w:r>
          </w:p>
          <w:p w14:paraId="5A1EB79C"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cflowd</w:t>
            </w:r>
            <w:proofErr w:type="spellEnd"/>
            <w:r w:rsidRPr="00A173E1">
              <w:rPr>
                <w:rFonts w:ascii="Times New Roman" w:eastAsia="Times New Roman" w:hAnsi="Times New Roman" w:cs="Times New Roman"/>
                <w:sz w:val="24"/>
                <w:szCs w:val="24"/>
              </w:rPr>
              <w:t>;</w:t>
            </w:r>
          </w:p>
          <w:p w14:paraId="6776C3D2"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IPfix</w:t>
            </w:r>
            <w:proofErr w:type="spellEnd"/>
            <w:r w:rsidRPr="00A173E1">
              <w:rPr>
                <w:rFonts w:ascii="Times New Roman" w:eastAsia="Times New Roman" w:hAnsi="Times New Roman" w:cs="Times New Roman"/>
                <w:sz w:val="24"/>
                <w:szCs w:val="24"/>
              </w:rPr>
              <w:t>;</w:t>
            </w:r>
          </w:p>
          <w:p w14:paraId="52433B8F"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J‐</w:t>
            </w:r>
            <w:proofErr w:type="spellStart"/>
            <w:r w:rsidRPr="00A173E1">
              <w:rPr>
                <w:rFonts w:ascii="Times New Roman" w:eastAsia="Times New Roman" w:hAnsi="Times New Roman" w:cs="Times New Roman"/>
                <w:sz w:val="24"/>
                <w:szCs w:val="24"/>
              </w:rPr>
              <w:t>Flow</w:t>
            </w:r>
            <w:proofErr w:type="spellEnd"/>
            <w:r w:rsidRPr="00A173E1">
              <w:rPr>
                <w:rFonts w:ascii="Times New Roman" w:eastAsia="Times New Roman" w:hAnsi="Times New Roman" w:cs="Times New Roman"/>
                <w:sz w:val="24"/>
                <w:szCs w:val="24"/>
              </w:rPr>
              <w:t>.</w:t>
            </w:r>
          </w:p>
        </w:tc>
      </w:tr>
      <w:tr w:rsidR="00A173E1" w:rsidRPr="00A173E1" w14:paraId="0726E334"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4E35F5E3"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Модуль аналізу мережевих конфігурацій</w:t>
            </w:r>
          </w:p>
        </w:tc>
      </w:tr>
      <w:tr w:rsidR="00A173E1" w:rsidRPr="00A173E1" w14:paraId="392ED2BE" w14:textId="77777777" w:rsidTr="00A77932">
        <w:trPr>
          <w:trHeight w:val="75"/>
        </w:trPr>
        <w:tc>
          <w:tcPr>
            <w:tcW w:w="676" w:type="dxa"/>
            <w:tcBorders>
              <w:top w:val="single" w:sz="4" w:space="0" w:color="000000"/>
              <w:left w:val="single" w:sz="4" w:space="0" w:color="000000"/>
              <w:bottom w:val="single" w:sz="4" w:space="0" w:color="000000"/>
              <w:right w:val="single" w:sz="4" w:space="0" w:color="000000"/>
            </w:tcBorders>
          </w:tcPr>
          <w:p w14:paraId="79E6FE48"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DB5F96F"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збирати інформацію про конфігурації з 1 пристрою.</w:t>
            </w:r>
          </w:p>
        </w:tc>
      </w:tr>
      <w:tr w:rsidR="00A173E1" w:rsidRPr="00A173E1" w14:paraId="4B59AD12"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4579E6F" w14:textId="77777777" w:rsidR="00A173E1" w:rsidRPr="00A173E1" w:rsidRDefault="00A173E1" w:rsidP="00A173E1">
            <w:pPr>
              <w:pStyle w:val="normal1"/>
              <w:numPr>
                <w:ilvl w:val="0"/>
                <w:numId w:val="5"/>
              </w:numPr>
              <w:pBdr>
                <w:top w:val="nil"/>
                <w:left w:val="nil"/>
                <w:bottom w:val="nil"/>
                <w:right w:val="nil"/>
                <w:between w:val="nil"/>
              </w:pBd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4065F93E"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отримання мережевих конфігурацій з:</w:t>
            </w:r>
          </w:p>
          <w:p w14:paraId="23178F19"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роутерів</w:t>
            </w:r>
            <w:proofErr w:type="spellEnd"/>
            <w:r w:rsidRPr="00A173E1">
              <w:rPr>
                <w:rFonts w:ascii="Times New Roman" w:eastAsia="Times New Roman" w:hAnsi="Times New Roman" w:cs="Times New Roman"/>
                <w:sz w:val="24"/>
                <w:szCs w:val="24"/>
              </w:rPr>
              <w:t>;</w:t>
            </w:r>
          </w:p>
          <w:p w14:paraId="59D9882C"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брандмауерів;</w:t>
            </w:r>
          </w:p>
          <w:p w14:paraId="0949F4E0"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свічів</w:t>
            </w:r>
            <w:proofErr w:type="spellEnd"/>
            <w:r w:rsidRPr="00A173E1">
              <w:rPr>
                <w:rFonts w:ascii="Times New Roman" w:eastAsia="Times New Roman" w:hAnsi="Times New Roman" w:cs="Times New Roman"/>
                <w:sz w:val="24"/>
                <w:szCs w:val="24"/>
              </w:rPr>
              <w:t>;</w:t>
            </w:r>
          </w:p>
          <w:p w14:paraId="7543F6A2"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балансувальників</w:t>
            </w:r>
            <w:proofErr w:type="spellEnd"/>
            <w:r w:rsidRPr="00A173E1">
              <w:rPr>
                <w:rFonts w:ascii="Times New Roman" w:eastAsia="Times New Roman" w:hAnsi="Times New Roman" w:cs="Times New Roman"/>
                <w:sz w:val="24"/>
                <w:szCs w:val="24"/>
              </w:rPr>
              <w:t>.</w:t>
            </w:r>
          </w:p>
        </w:tc>
      </w:tr>
      <w:tr w:rsidR="00A173E1" w:rsidRPr="00A173E1" w14:paraId="47DCBE5A"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4A516E12" w14:textId="77777777" w:rsidR="00A173E1" w:rsidRPr="00A173E1" w:rsidRDefault="00A173E1" w:rsidP="00A173E1">
            <w:pPr>
              <w:pStyle w:val="normal1"/>
              <w:numPr>
                <w:ilvl w:val="0"/>
                <w:numId w:val="5"/>
              </w:numPr>
              <w:pBdr>
                <w:top w:val="nil"/>
                <w:left w:val="nil"/>
                <w:bottom w:val="nil"/>
                <w:right w:val="nil"/>
                <w:between w:val="nil"/>
              </w:pBd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30F87CE9"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створювати резервні копії та відновлювати з них налаштування для мережевих пристроїв.</w:t>
            </w:r>
          </w:p>
        </w:tc>
      </w:tr>
      <w:tr w:rsidR="00A173E1" w:rsidRPr="00A173E1" w14:paraId="486E5D07"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7A7F5603" w14:textId="77777777" w:rsidR="00A173E1" w:rsidRPr="00A173E1" w:rsidRDefault="00A173E1" w:rsidP="00A173E1">
            <w:pPr>
              <w:pStyle w:val="normal1"/>
              <w:numPr>
                <w:ilvl w:val="0"/>
                <w:numId w:val="5"/>
              </w:numPr>
              <w:pBdr>
                <w:top w:val="nil"/>
                <w:left w:val="nil"/>
                <w:bottom w:val="nil"/>
                <w:right w:val="nil"/>
                <w:between w:val="nil"/>
              </w:pBd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0213B0B2"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слідкувати за змінами в мережевих пристроях та підсвічувати їх відмінності.</w:t>
            </w:r>
          </w:p>
        </w:tc>
      </w:tr>
      <w:tr w:rsidR="00A173E1" w:rsidRPr="00A173E1" w14:paraId="3BC74956"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4CF3B082"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Модуль збору подій</w:t>
            </w:r>
          </w:p>
        </w:tc>
      </w:tr>
      <w:tr w:rsidR="00A173E1" w:rsidRPr="00A173E1" w14:paraId="3FDA5FB6"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67554779" w14:textId="77777777" w:rsidR="00A173E1" w:rsidRPr="00A173E1" w:rsidRDefault="00A173E1" w:rsidP="00A173E1">
            <w:pPr>
              <w:pStyle w:val="normal1"/>
              <w:numPr>
                <w:ilvl w:val="0"/>
                <w:numId w:val="5"/>
              </w:numPr>
              <w:pBdr>
                <w:top w:val="nil"/>
                <w:left w:val="nil"/>
                <w:bottom w:val="nil"/>
                <w:right w:val="nil"/>
                <w:between w:val="nil"/>
              </w:pBd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4DA3E7FD"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отримання журналів подій через:</w:t>
            </w:r>
          </w:p>
          <w:p w14:paraId="2407B87E"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SNMP </w:t>
            </w:r>
            <w:proofErr w:type="spellStart"/>
            <w:r w:rsidRPr="00A173E1">
              <w:rPr>
                <w:rFonts w:ascii="Times New Roman" w:eastAsia="Times New Roman" w:hAnsi="Times New Roman" w:cs="Times New Roman"/>
                <w:sz w:val="24"/>
                <w:szCs w:val="24"/>
              </w:rPr>
              <w:t>traps</w:t>
            </w:r>
            <w:proofErr w:type="spellEnd"/>
            <w:r w:rsidRPr="00A173E1">
              <w:rPr>
                <w:rFonts w:ascii="Times New Roman" w:eastAsia="Times New Roman" w:hAnsi="Times New Roman" w:cs="Times New Roman"/>
                <w:sz w:val="24"/>
                <w:szCs w:val="24"/>
              </w:rPr>
              <w:t>;</w:t>
            </w:r>
          </w:p>
          <w:p w14:paraId="573D7C9C"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Win</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events</w:t>
            </w:r>
            <w:proofErr w:type="spellEnd"/>
            <w:r w:rsidRPr="00A173E1">
              <w:rPr>
                <w:rFonts w:ascii="Times New Roman" w:eastAsia="Times New Roman" w:hAnsi="Times New Roman" w:cs="Times New Roman"/>
                <w:sz w:val="24"/>
                <w:szCs w:val="24"/>
              </w:rPr>
              <w:t>;</w:t>
            </w:r>
          </w:p>
          <w:p w14:paraId="6CE24768" w14:textId="77777777" w:rsidR="00A173E1" w:rsidRPr="00A173E1" w:rsidRDefault="00A173E1" w:rsidP="00A173E1">
            <w:pPr>
              <w:pStyle w:val="normal1"/>
              <w:numPr>
                <w:ilvl w:val="0"/>
                <w:numId w:val="1"/>
              </w:numPr>
              <w:spacing w:after="0" w:line="240" w:lineRule="auto"/>
              <w:jc w:val="both"/>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syslogs</w:t>
            </w:r>
            <w:proofErr w:type="spellEnd"/>
            <w:r w:rsidRPr="00A173E1">
              <w:rPr>
                <w:rFonts w:ascii="Times New Roman" w:eastAsia="Times New Roman" w:hAnsi="Times New Roman" w:cs="Times New Roman"/>
                <w:sz w:val="24"/>
                <w:szCs w:val="24"/>
              </w:rPr>
              <w:t>.</w:t>
            </w:r>
          </w:p>
        </w:tc>
      </w:tr>
      <w:tr w:rsidR="00A173E1" w:rsidRPr="00A173E1" w14:paraId="156580DC"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7969791"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7417656"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надавати можливість задання правил критичності отриманих подій </w:t>
            </w:r>
          </w:p>
        </w:tc>
      </w:tr>
      <w:tr w:rsidR="00A173E1" w:rsidRPr="00A173E1" w14:paraId="6E4B041D"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720D3390"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7F800BA0"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підтримувати </w:t>
            </w:r>
            <w:proofErr w:type="spellStart"/>
            <w:r w:rsidRPr="00A173E1">
              <w:rPr>
                <w:rFonts w:ascii="Times New Roman" w:eastAsia="Times New Roman" w:hAnsi="Times New Roman" w:cs="Times New Roman"/>
                <w:sz w:val="24"/>
                <w:szCs w:val="24"/>
              </w:rPr>
              <w:t>дедуплікацію</w:t>
            </w:r>
            <w:proofErr w:type="spellEnd"/>
            <w:r w:rsidRPr="00A173E1">
              <w:rPr>
                <w:rFonts w:ascii="Times New Roman" w:eastAsia="Times New Roman" w:hAnsi="Times New Roman" w:cs="Times New Roman"/>
                <w:sz w:val="24"/>
                <w:szCs w:val="24"/>
              </w:rPr>
              <w:t xml:space="preserve"> та кореляцію отриманих подій однієї категорії.</w:t>
            </w:r>
          </w:p>
        </w:tc>
      </w:tr>
      <w:tr w:rsidR="00A173E1" w:rsidRPr="00A173E1" w14:paraId="49E02133" w14:textId="77777777" w:rsidTr="00A77932">
        <w:trPr>
          <w:trHeight w:val="306"/>
        </w:trPr>
        <w:tc>
          <w:tcPr>
            <w:tcW w:w="676" w:type="dxa"/>
            <w:tcBorders>
              <w:top w:val="single" w:sz="4" w:space="0" w:color="000000"/>
              <w:left w:val="single" w:sz="4" w:space="0" w:color="000000"/>
              <w:bottom w:val="single" w:sz="4" w:space="0" w:color="000000"/>
              <w:right w:val="single" w:sz="4" w:space="0" w:color="000000"/>
            </w:tcBorders>
          </w:tcPr>
          <w:p w14:paraId="4EE9CAA4"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7A0FC406"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надавати можливість створення правил реакції на події.</w:t>
            </w:r>
          </w:p>
        </w:tc>
      </w:tr>
      <w:tr w:rsidR="00A173E1" w:rsidRPr="00A173E1" w14:paraId="3B9DA5BF"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66687A8"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166F019D"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надавати можливість створення заявок на відновлення пристроїв або застосунків.</w:t>
            </w:r>
          </w:p>
        </w:tc>
      </w:tr>
      <w:tr w:rsidR="00A173E1" w:rsidRPr="00A173E1" w14:paraId="6F6BD0F4"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29EC75B1"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 xml:space="preserve">Модуль </w:t>
            </w:r>
            <w:proofErr w:type="spellStart"/>
            <w:r w:rsidRPr="00A173E1">
              <w:rPr>
                <w:rFonts w:ascii="Times New Roman" w:eastAsia="Times New Roman" w:hAnsi="Times New Roman" w:cs="Times New Roman"/>
                <w:b/>
                <w:sz w:val="24"/>
                <w:szCs w:val="24"/>
              </w:rPr>
              <w:t>проактивної</w:t>
            </w:r>
            <w:proofErr w:type="spellEnd"/>
            <w:r w:rsidRPr="00A173E1">
              <w:rPr>
                <w:rFonts w:ascii="Times New Roman" w:eastAsia="Times New Roman" w:hAnsi="Times New Roman" w:cs="Times New Roman"/>
                <w:b/>
                <w:sz w:val="24"/>
                <w:szCs w:val="24"/>
              </w:rPr>
              <w:t xml:space="preserve"> аналітика</w:t>
            </w:r>
          </w:p>
        </w:tc>
      </w:tr>
      <w:tr w:rsidR="00A173E1" w:rsidRPr="00A173E1" w14:paraId="437AD53F"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63C0FB0"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19328DE9"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створювати часову лінію поведінки інфраструктури.</w:t>
            </w:r>
          </w:p>
        </w:tc>
      </w:tr>
      <w:tr w:rsidR="00A173E1" w:rsidRPr="00A173E1" w14:paraId="0FBCD224"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A53B52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5859FFF2"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підсвічувати проблемні місця в інфраструктурі до їх виникнення.</w:t>
            </w:r>
          </w:p>
        </w:tc>
      </w:tr>
      <w:tr w:rsidR="00A173E1" w:rsidRPr="00A173E1" w14:paraId="1025580C"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59D65FC8"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Модуль аналізу впливів на інфраструктуру</w:t>
            </w:r>
          </w:p>
        </w:tc>
      </w:tr>
      <w:tr w:rsidR="00A173E1" w:rsidRPr="00A173E1" w14:paraId="2D82C5FA"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3AF766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7D5E80DE"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аналізувати бізнес процеси та вимірювати SLA для бізнес послуг.</w:t>
            </w:r>
          </w:p>
        </w:tc>
      </w:tr>
      <w:tr w:rsidR="00A173E1" w:rsidRPr="00A173E1" w14:paraId="6938EAA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CF1CF15"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33A20224"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будувати тенденції використання та повідомляти про можливі </w:t>
            </w:r>
            <w:proofErr w:type="spellStart"/>
            <w:r w:rsidRPr="00A173E1">
              <w:rPr>
                <w:rFonts w:ascii="Times New Roman" w:eastAsia="Times New Roman" w:hAnsi="Times New Roman" w:cs="Times New Roman"/>
                <w:sz w:val="24"/>
                <w:szCs w:val="24"/>
              </w:rPr>
              <w:t>збої</w:t>
            </w:r>
            <w:proofErr w:type="spellEnd"/>
            <w:r w:rsidRPr="00A173E1">
              <w:rPr>
                <w:rFonts w:ascii="Times New Roman" w:eastAsia="Times New Roman" w:hAnsi="Times New Roman" w:cs="Times New Roman"/>
                <w:sz w:val="24"/>
                <w:szCs w:val="24"/>
              </w:rPr>
              <w:t>.</w:t>
            </w:r>
          </w:p>
        </w:tc>
      </w:tr>
      <w:tr w:rsidR="00A173E1" w:rsidRPr="00A173E1" w14:paraId="55DF7DA1" w14:textId="77777777" w:rsidTr="00A77932">
        <w:trPr>
          <w:trHeight w:val="96"/>
        </w:trPr>
        <w:tc>
          <w:tcPr>
            <w:tcW w:w="676" w:type="dxa"/>
            <w:tcBorders>
              <w:top w:val="single" w:sz="4" w:space="0" w:color="000000"/>
              <w:left w:val="single" w:sz="4" w:space="0" w:color="000000"/>
              <w:bottom w:val="single" w:sz="4" w:space="0" w:color="000000"/>
              <w:right w:val="single" w:sz="4" w:space="0" w:color="000000"/>
            </w:tcBorders>
          </w:tcPr>
          <w:p w14:paraId="478FF99D"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7967E528"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мати можливість налаштування часу вимірювання SLA для інфраструктури:</w:t>
            </w:r>
          </w:p>
          <w:p w14:paraId="21CF29AB" w14:textId="77777777" w:rsidR="00A173E1" w:rsidRPr="00A173E1" w:rsidRDefault="00A173E1" w:rsidP="00A173E1">
            <w:pPr>
              <w:pStyle w:val="normal1"/>
              <w:numPr>
                <w:ilvl w:val="0"/>
                <w:numId w:val="7"/>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день;</w:t>
            </w:r>
          </w:p>
          <w:p w14:paraId="237E3B99" w14:textId="77777777" w:rsidR="00A173E1" w:rsidRPr="00A173E1" w:rsidRDefault="00A173E1" w:rsidP="00A173E1">
            <w:pPr>
              <w:pStyle w:val="normal1"/>
              <w:numPr>
                <w:ilvl w:val="0"/>
                <w:numId w:val="7"/>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тиждень;</w:t>
            </w:r>
          </w:p>
          <w:p w14:paraId="3CC11215" w14:textId="77777777" w:rsidR="00A173E1" w:rsidRPr="00A173E1" w:rsidRDefault="00A173E1" w:rsidP="00A173E1">
            <w:pPr>
              <w:pStyle w:val="normal1"/>
              <w:numPr>
                <w:ilvl w:val="0"/>
                <w:numId w:val="7"/>
              </w:numPr>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місяць.</w:t>
            </w:r>
          </w:p>
        </w:tc>
      </w:tr>
      <w:tr w:rsidR="00A173E1" w:rsidRPr="00A173E1" w14:paraId="23E7B95F"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79E366B2"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Перелік підтримуваних систем</w:t>
            </w:r>
          </w:p>
        </w:tc>
      </w:tr>
      <w:tr w:rsidR="00A173E1" w:rsidRPr="00A173E1" w14:paraId="7AB18C4C"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BBF2AFC"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3FE0C53C"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з хмарних середовищ та систем віртуалізації таких як:</w:t>
            </w:r>
          </w:p>
          <w:p w14:paraId="2CFB77C6"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CloudStack</w:t>
            </w:r>
            <w:proofErr w:type="spellEnd"/>
            <w:r w:rsidRPr="00A173E1">
              <w:rPr>
                <w:rFonts w:ascii="Times New Roman" w:eastAsia="Times New Roman" w:hAnsi="Times New Roman" w:cs="Times New Roman"/>
                <w:sz w:val="24"/>
                <w:szCs w:val="24"/>
              </w:rPr>
              <w:t>;</w:t>
            </w:r>
          </w:p>
          <w:p w14:paraId="462EACC3"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OpenStack</w:t>
            </w:r>
            <w:proofErr w:type="spellEnd"/>
            <w:r w:rsidRPr="00A173E1">
              <w:rPr>
                <w:rFonts w:ascii="Times New Roman" w:eastAsia="Times New Roman" w:hAnsi="Times New Roman" w:cs="Times New Roman"/>
                <w:sz w:val="24"/>
                <w:szCs w:val="24"/>
              </w:rPr>
              <w:t>;</w:t>
            </w:r>
          </w:p>
          <w:p w14:paraId="07A699C6"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AWS;</w:t>
            </w:r>
          </w:p>
          <w:p w14:paraId="1D65E7BF"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Azure</w:t>
            </w:r>
            <w:proofErr w:type="spellEnd"/>
            <w:r w:rsidRPr="00A173E1">
              <w:rPr>
                <w:rFonts w:ascii="Times New Roman" w:eastAsia="Times New Roman" w:hAnsi="Times New Roman" w:cs="Times New Roman"/>
                <w:sz w:val="24"/>
                <w:szCs w:val="24"/>
              </w:rPr>
              <w:t>;</w:t>
            </w:r>
          </w:p>
          <w:p w14:paraId="6978414F"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VMware</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vCenter</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ESXi</w:t>
            </w:r>
            <w:proofErr w:type="spellEnd"/>
            <w:r w:rsidRPr="00A173E1">
              <w:rPr>
                <w:rFonts w:ascii="Times New Roman" w:eastAsia="Times New Roman" w:hAnsi="Times New Roman" w:cs="Times New Roman"/>
                <w:sz w:val="24"/>
                <w:szCs w:val="24"/>
              </w:rPr>
              <w:t>);</w:t>
            </w:r>
          </w:p>
          <w:p w14:paraId="456E5302"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Xen</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XenCenter</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Xen</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Virtual</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Clusters</w:t>
            </w:r>
            <w:proofErr w:type="spellEnd"/>
            <w:r w:rsidRPr="00A173E1">
              <w:rPr>
                <w:rFonts w:ascii="Times New Roman" w:eastAsia="Times New Roman" w:hAnsi="Times New Roman" w:cs="Times New Roman"/>
                <w:sz w:val="24"/>
                <w:szCs w:val="24"/>
              </w:rPr>
              <w:t>);</w:t>
            </w:r>
          </w:p>
          <w:p w14:paraId="34734F5D"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Hyper</w:t>
            </w:r>
            <w:proofErr w:type="spellEnd"/>
            <w:r w:rsidRPr="00A173E1">
              <w:rPr>
                <w:rFonts w:ascii="Times New Roman" w:eastAsia="Times New Roman" w:hAnsi="Times New Roman" w:cs="Times New Roman"/>
                <w:sz w:val="24"/>
                <w:szCs w:val="24"/>
              </w:rPr>
              <w:t xml:space="preserve"> V;</w:t>
            </w:r>
          </w:p>
          <w:p w14:paraId="46B8823E"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UCS;</w:t>
            </w:r>
          </w:p>
          <w:p w14:paraId="2F696E19" w14:textId="77777777" w:rsidR="00A173E1" w:rsidRPr="00A173E1" w:rsidRDefault="00A173E1" w:rsidP="00A173E1">
            <w:pPr>
              <w:pStyle w:val="normal1"/>
              <w:numPr>
                <w:ilvl w:val="0"/>
                <w:numId w:val="2"/>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EMC.</w:t>
            </w:r>
          </w:p>
        </w:tc>
      </w:tr>
      <w:tr w:rsidR="00A173E1" w:rsidRPr="00A173E1" w14:paraId="14B19B96"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86029F0"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6C358612"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застосунків таких як:</w:t>
            </w:r>
          </w:p>
          <w:p w14:paraId="5C654EFB"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AD, DHCP, DNS;</w:t>
            </w:r>
          </w:p>
          <w:p w14:paraId="3593E97F"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Exchange;</w:t>
            </w:r>
          </w:p>
          <w:p w14:paraId="06717FB6"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IIS;</w:t>
            </w:r>
          </w:p>
          <w:p w14:paraId="4B3D2309"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SQL Server;</w:t>
            </w:r>
          </w:p>
          <w:p w14:paraId="0375F9C6"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Active</w:t>
            </w:r>
            <w:proofErr w:type="spellEnd"/>
            <w:r w:rsidRPr="00A173E1">
              <w:rPr>
                <w:rFonts w:ascii="Times New Roman" w:eastAsia="Times New Roman" w:hAnsi="Times New Roman" w:cs="Times New Roman"/>
                <w:sz w:val="24"/>
                <w:szCs w:val="24"/>
              </w:rPr>
              <w:t xml:space="preserve"> MQ;</w:t>
            </w:r>
          </w:p>
          <w:p w14:paraId="5FFBCAD0"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JMX;</w:t>
            </w:r>
          </w:p>
          <w:p w14:paraId="59A07C01"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JBoss</w:t>
            </w:r>
            <w:proofErr w:type="spellEnd"/>
            <w:r w:rsidRPr="00A173E1">
              <w:rPr>
                <w:rFonts w:ascii="Times New Roman" w:eastAsia="Times New Roman" w:hAnsi="Times New Roman" w:cs="Times New Roman"/>
                <w:sz w:val="24"/>
                <w:szCs w:val="24"/>
              </w:rPr>
              <w:t>;</w:t>
            </w:r>
          </w:p>
          <w:p w14:paraId="7CC22886"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Jetty</w:t>
            </w:r>
            <w:proofErr w:type="spellEnd"/>
            <w:r w:rsidRPr="00A173E1">
              <w:rPr>
                <w:rFonts w:ascii="Times New Roman" w:eastAsia="Times New Roman" w:hAnsi="Times New Roman" w:cs="Times New Roman"/>
                <w:sz w:val="24"/>
                <w:szCs w:val="24"/>
              </w:rPr>
              <w:t>;</w:t>
            </w:r>
          </w:p>
          <w:p w14:paraId="3F9987AD"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Tomcat</w:t>
            </w:r>
            <w:proofErr w:type="spellEnd"/>
            <w:r w:rsidRPr="00A173E1">
              <w:rPr>
                <w:rFonts w:ascii="Times New Roman" w:eastAsia="Times New Roman" w:hAnsi="Times New Roman" w:cs="Times New Roman"/>
                <w:sz w:val="24"/>
                <w:szCs w:val="24"/>
              </w:rPr>
              <w:t>;</w:t>
            </w:r>
          </w:p>
          <w:p w14:paraId="7FF6E05E"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Weblogic</w:t>
            </w:r>
            <w:proofErr w:type="spellEnd"/>
            <w:r w:rsidRPr="00A173E1">
              <w:rPr>
                <w:rFonts w:ascii="Times New Roman" w:eastAsia="Times New Roman" w:hAnsi="Times New Roman" w:cs="Times New Roman"/>
                <w:sz w:val="24"/>
                <w:szCs w:val="24"/>
              </w:rPr>
              <w:t>;</w:t>
            </w:r>
          </w:p>
          <w:p w14:paraId="3D0A8543"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Hadoop</w:t>
            </w:r>
            <w:proofErr w:type="spellEnd"/>
            <w:r w:rsidRPr="00A173E1">
              <w:rPr>
                <w:rFonts w:ascii="Times New Roman" w:eastAsia="Times New Roman" w:hAnsi="Times New Roman" w:cs="Times New Roman"/>
                <w:sz w:val="24"/>
                <w:szCs w:val="24"/>
              </w:rPr>
              <w:t>;</w:t>
            </w:r>
          </w:p>
          <w:p w14:paraId="57A732C8"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Oracle</w:t>
            </w:r>
            <w:proofErr w:type="spellEnd"/>
            <w:r w:rsidRPr="00A173E1">
              <w:rPr>
                <w:rFonts w:ascii="Times New Roman" w:eastAsia="Times New Roman" w:hAnsi="Times New Roman" w:cs="Times New Roman"/>
                <w:sz w:val="24"/>
                <w:szCs w:val="24"/>
              </w:rPr>
              <w:t>;</w:t>
            </w:r>
          </w:p>
          <w:p w14:paraId="4453FB85"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Lotus</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Notes</w:t>
            </w:r>
            <w:proofErr w:type="spellEnd"/>
            <w:r w:rsidRPr="00A173E1">
              <w:rPr>
                <w:rFonts w:ascii="Times New Roman" w:eastAsia="Times New Roman" w:hAnsi="Times New Roman" w:cs="Times New Roman"/>
                <w:sz w:val="24"/>
                <w:szCs w:val="24"/>
              </w:rPr>
              <w:t>;</w:t>
            </w:r>
          </w:p>
          <w:p w14:paraId="64E5077D"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Blackberry</w:t>
            </w:r>
            <w:proofErr w:type="spellEnd"/>
            <w:r w:rsidRPr="00A173E1">
              <w:rPr>
                <w:rFonts w:ascii="Times New Roman" w:eastAsia="Times New Roman" w:hAnsi="Times New Roman" w:cs="Times New Roman"/>
                <w:sz w:val="24"/>
                <w:szCs w:val="24"/>
              </w:rPr>
              <w:t xml:space="preserve"> BES;</w:t>
            </w:r>
          </w:p>
          <w:p w14:paraId="415D2F03"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Citrix</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Metraframe</w:t>
            </w:r>
            <w:proofErr w:type="spellEnd"/>
            <w:r w:rsidRPr="00A173E1">
              <w:rPr>
                <w:rFonts w:ascii="Times New Roman" w:eastAsia="Times New Roman" w:hAnsi="Times New Roman" w:cs="Times New Roman"/>
                <w:sz w:val="24"/>
                <w:szCs w:val="24"/>
              </w:rPr>
              <w:t>;</w:t>
            </w:r>
          </w:p>
          <w:p w14:paraId="2EE14F72" w14:textId="77777777" w:rsidR="00A173E1" w:rsidRPr="00A173E1" w:rsidRDefault="00A173E1" w:rsidP="00A173E1">
            <w:pPr>
              <w:pStyle w:val="normal1"/>
              <w:numPr>
                <w:ilvl w:val="0"/>
                <w:numId w:val="6"/>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Remedy</w:t>
            </w:r>
            <w:proofErr w:type="spellEnd"/>
            <w:r w:rsidRPr="00A173E1">
              <w:rPr>
                <w:rFonts w:ascii="Times New Roman" w:eastAsia="Times New Roman" w:hAnsi="Times New Roman" w:cs="Times New Roman"/>
                <w:sz w:val="24"/>
                <w:szCs w:val="24"/>
              </w:rPr>
              <w:t>.</w:t>
            </w:r>
          </w:p>
        </w:tc>
      </w:tr>
      <w:tr w:rsidR="00A173E1" w:rsidRPr="00A173E1" w14:paraId="234098F4" w14:textId="77777777" w:rsidTr="00A77932">
        <w:trPr>
          <w:trHeight w:val="2013"/>
        </w:trPr>
        <w:tc>
          <w:tcPr>
            <w:tcW w:w="676" w:type="dxa"/>
            <w:tcBorders>
              <w:top w:val="single" w:sz="4" w:space="0" w:color="000000"/>
              <w:left w:val="single" w:sz="4" w:space="0" w:color="000000"/>
              <w:bottom w:val="single" w:sz="4" w:space="0" w:color="000000"/>
              <w:right w:val="single" w:sz="4" w:space="0" w:color="000000"/>
            </w:tcBorders>
          </w:tcPr>
          <w:p w14:paraId="7CAA94CB"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371B1EA4"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застосунків таких як:</w:t>
            </w:r>
          </w:p>
          <w:p w14:paraId="26734CD3"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Microsoft SQL Server;</w:t>
            </w:r>
          </w:p>
          <w:p w14:paraId="30570CED"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Oracle</w:t>
            </w:r>
            <w:proofErr w:type="spellEnd"/>
            <w:r w:rsidRPr="00A173E1">
              <w:rPr>
                <w:rFonts w:ascii="Times New Roman" w:eastAsia="Times New Roman" w:hAnsi="Times New Roman" w:cs="Times New Roman"/>
                <w:sz w:val="24"/>
                <w:szCs w:val="24"/>
              </w:rPr>
              <w:t>;</w:t>
            </w:r>
          </w:p>
          <w:p w14:paraId="1697A483"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Sybase</w:t>
            </w:r>
            <w:proofErr w:type="spellEnd"/>
            <w:r w:rsidRPr="00A173E1">
              <w:rPr>
                <w:rFonts w:ascii="Times New Roman" w:eastAsia="Times New Roman" w:hAnsi="Times New Roman" w:cs="Times New Roman"/>
                <w:sz w:val="24"/>
                <w:szCs w:val="24"/>
              </w:rPr>
              <w:t>;</w:t>
            </w:r>
          </w:p>
          <w:p w14:paraId="528EE2D9"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DB2;</w:t>
            </w:r>
          </w:p>
          <w:p w14:paraId="4EA16D95"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MySQL</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Database</w:t>
            </w:r>
            <w:proofErr w:type="spellEnd"/>
            <w:r w:rsidRPr="00A173E1">
              <w:rPr>
                <w:rFonts w:ascii="Times New Roman" w:eastAsia="Times New Roman" w:hAnsi="Times New Roman" w:cs="Times New Roman"/>
                <w:sz w:val="24"/>
                <w:szCs w:val="24"/>
              </w:rPr>
              <w:t>;</w:t>
            </w:r>
          </w:p>
          <w:p w14:paraId="21F5C34C"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Postgres</w:t>
            </w:r>
            <w:proofErr w:type="spellEnd"/>
            <w:r w:rsidRPr="00A173E1">
              <w:rPr>
                <w:rFonts w:ascii="Times New Roman" w:eastAsia="Times New Roman" w:hAnsi="Times New Roman" w:cs="Times New Roman"/>
                <w:sz w:val="24"/>
                <w:szCs w:val="24"/>
              </w:rPr>
              <w:t>;</w:t>
            </w:r>
          </w:p>
          <w:p w14:paraId="6C52101A" w14:textId="77777777" w:rsidR="00A173E1" w:rsidRPr="00A173E1" w:rsidRDefault="00A173E1" w:rsidP="00A173E1">
            <w:pPr>
              <w:pStyle w:val="normal1"/>
              <w:numPr>
                <w:ilvl w:val="0"/>
                <w:numId w:val="4"/>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Hadoop</w:t>
            </w:r>
            <w:proofErr w:type="spellEnd"/>
            <w:r w:rsidRPr="00A173E1">
              <w:rPr>
                <w:rFonts w:ascii="Times New Roman" w:eastAsia="Times New Roman" w:hAnsi="Times New Roman" w:cs="Times New Roman"/>
                <w:sz w:val="24"/>
                <w:szCs w:val="24"/>
              </w:rPr>
              <w:t>.</w:t>
            </w:r>
          </w:p>
        </w:tc>
      </w:tr>
      <w:tr w:rsidR="00A173E1" w:rsidRPr="00A173E1" w14:paraId="6AB387FD"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0388483"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13404E17"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мережевих пристроїв таких як:</w:t>
            </w:r>
          </w:p>
          <w:p w14:paraId="25007A3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Routers</w:t>
            </w:r>
            <w:proofErr w:type="spellEnd"/>
            <w:r w:rsidRPr="00A173E1">
              <w:rPr>
                <w:rFonts w:ascii="Times New Roman" w:eastAsia="Times New Roman" w:hAnsi="Times New Roman" w:cs="Times New Roman"/>
                <w:sz w:val="24"/>
                <w:szCs w:val="24"/>
              </w:rPr>
              <w:t>;</w:t>
            </w:r>
          </w:p>
          <w:p w14:paraId="1E5C3D44"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Switches</w:t>
            </w:r>
            <w:proofErr w:type="spellEnd"/>
            <w:r w:rsidRPr="00A173E1">
              <w:rPr>
                <w:rFonts w:ascii="Times New Roman" w:eastAsia="Times New Roman" w:hAnsi="Times New Roman" w:cs="Times New Roman"/>
                <w:sz w:val="24"/>
                <w:szCs w:val="24"/>
              </w:rPr>
              <w:t>;</w:t>
            </w:r>
          </w:p>
          <w:p w14:paraId="53A71DB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Load</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balancers</w:t>
            </w:r>
            <w:proofErr w:type="spellEnd"/>
            <w:r w:rsidRPr="00A173E1">
              <w:rPr>
                <w:rFonts w:ascii="Times New Roman" w:eastAsia="Times New Roman" w:hAnsi="Times New Roman" w:cs="Times New Roman"/>
                <w:sz w:val="24"/>
                <w:szCs w:val="24"/>
              </w:rPr>
              <w:t>;</w:t>
            </w:r>
          </w:p>
          <w:p w14:paraId="4D2CB2C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Content</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Management</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Switches</w:t>
            </w:r>
            <w:proofErr w:type="spellEnd"/>
            <w:r w:rsidRPr="00A173E1">
              <w:rPr>
                <w:rFonts w:ascii="Times New Roman" w:eastAsia="Times New Roman" w:hAnsi="Times New Roman" w:cs="Times New Roman"/>
                <w:sz w:val="24"/>
                <w:szCs w:val="24"/>
              </w:rPr>
              <w:t>;</w:t>
            </w:r>
          </w:p>
          <w:p w14:paraId="46D445D4"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WLAN </w:t>
            </w:r>
            <w:proofErr w:type="spellStart"/>
            <w:r w:rsidRPr="00A173E1">
              <w:rPr>
                <w:rFonts w:ascii="Times New Roman" w:eastAsia="Times New Roman" w:hAnsi="Times New Roman" w:cs="Times New Roman"/>
                <w:sz w:val="24"/>
                <w:szCs w:val="24"/>
              </w:rPr>
              <w:t>Hubs</w:t>
            </w:r>
            <w:proofErr w:type="spellEnd"/>
            <w:r w:rsidRPr="00A173E1">
              <w:rPr>
                <w:rFonts w:ascii="Times New Roman" w:eastAsia="Times New Roman" w:hAnsi="Times New Roman" w:cs="Times New Roman"/>
                <w:sz w:val="24"/>
                <w:szCs w:val="24"/>
              </w:rPr>
              <w:t>;</w:t>
            </w:r>
          </w:p>
          <w:p w14:paraId="5887AA4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ATM &amp; </w:t>
            </w:r>
            <w:proofErr w:type="spellStart"/>
            <w:r w:rsidRPr="00A173E1">
              <w:rPr>
                <w:rFonts w:ascii="Times New Roman" w:eastAsia="Times New Roman" w:hAnsi="Times New Roman" w:cs="Times New Roman"/>
                <w:sz w:val="24"/>
                <w:szCs w:val="24"/>
              </w:rPr>
              <w:t>Frame</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Relay</w:t>
            </w:r>
            <w:proofErr w:type="spellEnd"/>
            <w:r w:rsidRPr="00A173E1">
              <w:rPr>
                <w:rFonts w:ascii="Times New Roman" w:eastAsia="Times New Roman" w:hAnsi="Times New Roman" w:cs="Times New Roman"/>
                <w:sz w:val="24"/>
                <w:szCs w:val="24"/>
              </w:rPr>
              <w:t>;</w:t>
            </w:r>
          </w:p>
          <w:p w14:paraId="679D7FCC"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Nexus</w:t>
            </w:r>
            <w:proofErr w:type="spellEnd"/>
            <w:r w:rsidRPr="00A173E1">
              <w:rPr>
                <w:rFonts w:ascii="Times New Roman" w:eastAsia="Times New Roman" w:hAnsi="Times New Roman" w:cs="Times New Roman"/>
                <w:sz w:val="24"/>
                <w:szCs w:val="24"/>
              </w:rPr>
              <w:t>;</w:t>
            </w:r>
          </w:p>
          <w:p w14:paraId="203CB2E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w:t>
            </w:r>
          </w:p>
          <w:p w14:paraId="53A893D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Juniper</w:t>
            </w:r>
            <w:proofErr w:type="spellEnd"/>
            <w:r w:rsidRPr="00A173E1">
              <w:rPr>
                <w:rFonts w:ascii="Times New Roman" w:eastAsia="Times New Roman" w:hAnsi="Times New Roman" w:cs="Times New Roman"/>
                <w:sz w:val="24"/>
                <w:szCs w:val="24"/>
              </w:rPr>
              <w:t>;</w:t>
            </w:r>
          </w:p>
          <w:p w14:paraId="053DBC3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Netscreen</w:t>
            </w:r>
            <w:proofErr w:type="spellEnd"/>
            <w:r w:rsidRPr="00A173E1">
              <w:rPr>
                <w:rFonts w:ascii="Times New Roman" w:eastAsia="Times New Roman" w:hAnsi="Times New Roman" w:cs="Times New Roman"/>
                <w:sz w:val="24"/>
                <w:szCs w:val="24"/>
              </w:rPr>
              <w:t>;</w:t>
            </w:r>
          </w:p>
          <w:p w14:paraId="2C693FA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Foundry</w:t>
            </w:r>
            <w:proofErr w:type="spellEnd"/>
            <w:r w:rsidRPr="00A173E1">
              <w:rPr>
                <w:rFonts w:ascii="Times New Roman" w:eastAsia="Times New Roman" w:hAnsi="Times New Roman" w:cs="Times New Roman"/>
                <w:sz w:val="24"/>
                <w:szCs w:val="24"/>
              </w:rPr>
              <w:t>;</w:t>
            </w:r>
          </w:p>
          <w:p w14:paraId="5CBC9933"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Nortel</w:t>
            </w:r>
            <w:proofErr w:type="spellEnd"/>
            <w:r w:rsidRPr="00A173E1">
              <w:rPr>
                <w:rFonts w:ascii="Times New Roman" w:eastAsia="Times New Roman" w:hAnsi="Times New Roman" w:cs="Times New Roman"/>
                <w:sz w:val="24"/>
                <w:szCs w:val="24"/>
              </w:rPr>
              <w:t>;</w:t>
            </w:r>
          </w:p>
          <w:p w14:paraId="4A4E331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Enterasys</w:t>
            </w:r>
            <w:proofErr w:type="spellEnd"/>
            <w:r w:rsidRPr="00A173E1">
              <w:rPr>
                <w:rFonts w:ascii="Times New Roman" w:eastAsia="Times New Roman" w:hAnsi="Times New Roman" w:cs="Times New Roman"/>
                <w:sz w:val="24"/>
                <w:szCs w:val="24"/>
              </w:rPr>
              <w:t>;</w:t>
            </w:r>
          </w:p>
          <w:p w14:paraId="3509B81E"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Linksys</w:t>
            </w:r>
            <w:proofErr w:type="spellEnd"/>
            <w:r w:rsidRPr="00A173E1">
              <w:rPr>
                <w:rFonts w:ascii="Times New Roman" w:eastAsia="Times New Roman" w:hAnsi="Times New Roman" w:cs="Times New Roman"/>
                <w:sz w:val="24"/>
                <w:szCs w:val="24"/>
              </w:rPr>
              <w:t>;</w:t>
            </w:r>
          </w:p>
          <w:p w14:paraId="50E91F6E"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Aventail</w:t>
            </w:r>
            <w:proofErr w:type="spellEnd"/>
            <w:r w:rsidRPr="00A173E1">
              <w:rPr>
                <w:rFonts w:ascii="Times New Roman" w:eastAsia="Times New Roman" w:hAnsi="Times New Roman" w:cs="Times New Roman"/>
                <w:sz w:val="24"/>
                <w:szCs w:val="24"/>
              </w:rPr>
              <w:t>;</w:t>
            </w:r>
          </w:p>
          <w:p w14:paraId="1A679235"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Arrowpoint</w:t>
            </w:r>
            <w:proofErr w:type="spellEnd"/>
            <w:r w:rsidRPr="00A173E1">
              <w:rPr>
                <w:rFonts w:ascii="Times New Roman" w:eastAsia="Times New Roman" w:hAnsi="Times New Roman" w:cs="Times New Roman"/>
                <w:sz w:val="24"/>
                <w:szCs w:val="24"/>
              </w:rPr>
              <w:t>;</w:t>
            </w:r>
          </w:p>
          <w:p w14:paraId="1260CD87"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Netrake</w:t>
            </w:r>
            <w:proofErr w:type="spellEnd"/>
            <w:r w:rsidRPr="00A173E1">
              <w:rPr>
                <w:rFonts w:ascii="Times New Roman" w:eastAsia="Times New Roman" w:hAnsi="Times New Roman" w:cs="Times New Roman"/>
                <w:sz w:val="24"/>
                <w:szCs w:val="24"/>
              </w:rPr>
              <w:t>;</w:t>
            </w:r>
          </w:p>
          <w:p w14:paraId="26B97874"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Alteon</w:t>
            </w:r>
            <w:proofErr w:type="spellEnd"/>
            <w:r w:rsidRPr="00A173E1">
              <w:rPr>
                <w:rFonts w:ascii="Times New Roman" w:eastAsia="Times New Roman" w:hAnsi="Times New Roman" w:cs="Times New Roman"/>
                <w:sz w:val="24"/>
                <w:szCs w:val="24"/>
              </w:rPr>
              <w:t>;</w:t>
            </w:r>
          </w:p>
          <w:p w14:paraId="344ECDC3"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lastRenderedPageBreak/>
              <w:t>Peribit</w:t>
            </w:r>
            <w:proofErr w:type="spellEnd"/>
            <w:r w:rsidRPr="00A173E1">
              <w:rPr>
                <w:rFonts w:ascii="Times New Roman" w:eastAsia="Times New Roman" w:hAnsi="Times New Roman" w:cs="Times New Roman"/>
                <w:sz w:val="24"/>
                <w:szCs w:val="24"/>
              </w:rPr>
              <w:t>;</w:t>
            </w:r>
          </w:p>
          <w:p w14:paraId="4E388097"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Fortinet</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FortiMail</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FortiSwitch</w:t>
            </w:r>
            <w:proofErr w:type="spellEnd"/>
            <w:r w:rsidRPr="00A173E1">
              <w:rPr>
                <w:rFonts w:ascii="Times New Roman" w:eastAsia="Times New Roman" w:hAnsi="Times New Roman" w:cs="Times New Roman"/>
                <w:sz w:val="24"/>
                <w:szCs w:val="24"/>
              </w:rPr>
              <w:t>);</w:t>
            </w:r>
          </w:p>
          <w:p w14:paraId="68A9F705"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128 </w:t>
            </w:r>
            <w:proofErr w:type="spellStart"/>
            <w:r w:rsidRPr="00A173E1">
              <w:rPr>
                <w:rFonts w:ascii="Times New Roman" w:eastAsia="Times New Roman" w:hAnsi="Times New Roman" w:cs="Times New Roman"/>
                <w:sz w:val="24"/>
                <w:szCs w:val="24"/>
              </w:rPr>
              <w:t>Technology</w:t>
            </w:r>
            <w:proofErr w:type="spellEnd"/>
            <w:r w:rsidRPr="00A173E1">
              <w:rPr>
                <w:rFonts w:ascii="Times New Roman" w:eastAsia="Times New Roman" w:hAnsi="Times New Roman" w:cs="Times New Roman"/>
                <w:sz w:val="24"/>
                <w:szCs w:val="24"/>
              </w:rPr>
              <w:t>;</w:t>
            </w:r>
          </w:p>
          <w:p w14:paraId="5B7676AC"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SmartOptics</w:t>
            </w:r>
            <w:proofErr w:type="spellEnd"/>
            <w:r w:rsidRPr="00A173E1">
              <w:rPr>
                <w:rFonts w:ascii="Times New Roman" w:eastAsia="Times New Roman" w:hAnsi="Times New Roman" w:cs="Times New Roman"/>
                <w:sz w:val="24"/>
                <w:szCs w:val="24"/>
              </w:rPr>
              <w:t>.</w:t>
            </w:r>
          </w:p>
        </w:tc>
      </w:tr>
      <w:tr w:rsidR="00A173E1" w:rsidRPr="00A173E1" w14:paraId="39434846"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474D725"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116E5EF1"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мережевих бездротових пристроїв таких як:</w:t>
            </w:r>
          </w:p>
          <w:p w14:paraId="523CF561"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w:t>
            </w:r>
          </w:p>
          <w:p w14:paraId="079E5C1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Linksys</w:t>
            </w:r>
            <w:proofErr w:type="spellEnd"/>
            <w:r w:rsidRPr="00A173E1">
              <w:rPr>
                <w:rFonts w:ascii="Times New Roman" w:eastAsia="Times New Roman" w:hAnsi="Times New Roman" w:cs="Times New Roman"/>
                <w:sz w:val="24"/>
                <w:szCs w:val="24"/>
              </w:rPr>
              <w:t>;</w:t>
            </w:r>
          </w:p>
          <w:p w14:paraId="613E92C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Redline</w:t>
            </w:r>
            <w:proofErr w:type="spellEnd"/>
            <w:r w:rsidRPr="00A173E1">
              <w:rPr>
                <w:rFonts w:ascii="Times New Roman" w:eastAsia="Times New Roman" w:hAnsi="Times New Roman" w:cs="Times New Roman"/>
                <w:sz w:val="24"/>
                <w:szCs w:val="24"/>
              </w:rPr>
              <w:t>;</w:t>
            </w:r>
          </w:p>
          <w:p w14:paraId="3891A247"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DragonWave</w:t>
            </w:r>
            <w:proofErr w:type="spellEnd"/>
            <w:r w:rsidRPr="00A173E1">
              <w:rPr>
                <w:rFonts w:ascii="Times New Roman" w:eastAsia="Times New Roman" w:hAnsi="Times New Roman" w:cs="Times New Roman"/>
                <w:sz w:val="24"/>
                <w:szCs w:val="24"/>
              </w:rPr>
              <w:t>;</w:t>
            </w:r>
          </w:p>
          <w:p w14:paraId="460B4A4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Cyclades</w:t>
            </w:r>
            <w:proofErr w:type="spellEnd"/>
            <w:r w:rsidRPr="00A173E1">
              <w:rPr>
                <w:rFonts w:ascii="Times New Roman" w:eastAsia="Times New Roman" w:hAnsi="Times New Roman" w:cs="Times New Roman"/>
                <w:sz w:val="24"/>
                <w:szCs w:val="24"/>
              </w:rPr>
              <w:t>;</w:t>
            </w:r>
          </w:p>
          <w:p w14:paraId="3A2E0A8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Tasman</w:t>
            </w:r>
            <w:proofErr w:type="spellEnd"/>
            <w:r w:rsidRPr="00A173E1">
              <w:rPr>
                <w:rFonts w:ascii="Times New Roman" w:eastAsia="Times New Roman" w:hAnsi="Times New Roman" w:cs="Times New Roman"/>
                <w:sz w:val="24"/>
                <w:szCs w:val="24"/>
              </w:rPr>
              <w:t>;</w:t>
            </w:r>
          </w:p>
          <w:p w14:paraId="13575489"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Nextnet</w:t>
            </w:r>
            <w:proofErr w:type="spellEnd"/>
            <w:r w:rsidRPr="00A173E1">
              <w:rPr>
                <w:rFonts w:ascii="Times New Roman" w:eastAsia="Times New Roman" w:hAnsi="Times New Roman" w:cs="Times New Roman"/>
                <w:sz w:val="24"/>
                <w:szCs w:val="24"/>
              </w:rPr>
              <w:t>;</w:t>
            </w:r>
          </w:p>
          <w:p w14:paraId="1852BDA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Aruba</w:t>
            </w:r>
            <w:proofErr w:type="spellEnd"/>
            <w:r w:rsidRPr="00A173E1">
              <w:rPr>
                <w:rFonts w:ascii="Times New Roman" w:eastAsia="Times New Roman" w:hAnsi="Times New Roman" w:cs="Times New Roman"/>
                <w:sz w:val="24"/>
                <w:szCs w:val="24"/>
              </w:rPr>
              <w:t>.</w:t>
            </w:r>
          </w:p>
        </w:tc>
      </w:tr>
      <w:tr w:rsidR="00A173E1" w:rsidRPr="00A173E1" w14:paraId="400BE7DC"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653888A2"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44DE9B93"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серверів таких як:</w:t>
            </w:r>
          </w:p>
          <w:p w14:paraId="2B031F62"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Windows 2000, 2003, NT, XP, Vista та новіші.</w:t>
            </w:r>
          </w:p>
          <w:p w14:paraId="31D7C94B" w14:textId="77777777" w:rsidR="00A173E1" w:rsidRPr="00A173E1" w:rsidRDefault="00A173E1" w:rsidP="00A173E1">
            <w:pPr>
              <w:pStyle w:val="normal1"/>
              <w:numPr>
                <w:ilvl w:val="0"/>
                <w:numId w:val="3"/>
              </w:numPr>
              <w:spacing w:after="0" w:line="240" w:lineRule="auto"/>
              <w:rPr>
                <w:rFonts w:ascii="Times New Roman" w:eastAsia="Times New Roman" w:hAnsi="Times New Roman" w:cs="Times New Roman"/>
                <w:sz w:val="24"/>
                <w:szCs w:val="24"/>
              </w:rPr>
            </w:pPr>
            <w:proofErr w:type="spellStart"/>
            <w:r w:rsidRPr="00A173E1">
              <w:rPr>
                <w:rFonts w:ascii="Times New Roman" w:eastAsia="Times New Roman" w:hAnsi="Times New Roman" w:cs="Times New Roman"/>
                <w:sz w:val="24"/>
                <w:szCs w:val="24"/>
              </w:rPr>
              <w:t>Linux</w:t>
            </w:r>
            <w:proofErr w:type="spellEnd"/>
            <w:r w:rsidRPr="00A173E1">
              <w:rPr>
                <w:rFonts w:ascii="Times New Roman" w:eastAsia="Times New Roman" w:hAnsi="Times New Roman" w:cs="Times New Roman"/>
                <w:sz w:val="24"/>
                <w:szCs w:val="24"/>
              </w:rPr>
              <w:t>/</w:t>
            </w:r>
            <w:proofErr w:type="spellStart"/>
            <w:r w:rsidRPr="00A173E1">
              <w:rPr>
                <w:rFonts w:ascii="Times New Roman" w:eastAsia="Times New Roman" w:hAnsi="Times New Roman" w:cs="Times New Roman"/>
                <w:sz w:val="24"/>
                <w:szCs w:val="24"/>
              </w:rPr>
              <w:t>Unix</w:t>
            </w:r>
            <w:proofErr w:type="spellEnd"/>
            <w:r w:rsidRPr="00A173E1">
              <w:rPr>
                <w:rFonts w:ascii="Times New Roman" w:eastAsia="Times New Roman" w:hAnsi="Times New Roman" w:cs="Times New Roman"/>
                <w:sz w:val="24"/>
                <w:szCs w:val="24"/>
              </w:rPr>
              <w:t>;</w:t>
            </w:r>
          </w:p>
          <w:p w14:paraId="3E522228"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Solaris</w:t>
            </w:r>
            <w:proofErr w:type="spellEnd"/>
            <w:r w:rsidRPr="00A173E1">
              <w:rPr>
                <w:rFonts w:ascii="Times New Roman" w:eastAsia="Times New Roman" w:hAnsi="Times New Roman" w:cs="Times New Roman"/>
                <w:sz w:val="24"/>
                <w:szCs w:val="24"/>
              </w:rPr>
              <w:t>;</w:t>
            </w:r>
          </w:p>
          <w:p w14:paraId="6FF51F3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HPUX;</w:t>
            </w:r>
          </w:p>
          <w:p w14:paraId="29BA594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AIX;</w:t>
            </w:r>
          </w:p>
          <w:p w14:paraId="6D00589A"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RedHat</w:t>
            </w:r>
            <w:proofErr w:type="spellEnd"/>
            <w:r w:rsidRPr="00A173E1">
              <w:rPr>
                <w:rFonts w:ascii="Times New Roman" w:eastAsia="Times New Roman" w:hAnsi="Times New Roman" w:cs="Times New Roman"/>
                <w:sz w:val="24"/>
                <w:szCs w:val="24"/>
              </w:rPr>
              <w:t>;</w:t>
            </w:r>
          </w:p>
          <w:p w14:paraId="4153FB4A"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Suse</w:t>
            </w:r>
            <w:proofErr w:type="spellEnd"/>
            <w:r w:rsidRPr="00A173E1">
              <w:rPr>
                <w:rFonts w:ascii="Times New Roman" w:eastAsia="Times New Roman" w:hAnsi="Times New Roman" w:cs="Times New Roman"/>
                <w:sz w:val="24"/>
                <w:szCs w:val="24"/>
              </w:rPr>
              <w:t>;</w:t>
            </w:r>
          </w:p>
          <w:p w14:paraId="4DDC1CB9"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Debian</w:t>
            </w:r>
            <w:proofErr w:type="spellEnd"/>
            <w:r w:rsidRPr="00A173E1">
              <w:rPr>
                <w:rFonts w:ascii="Times New Roman" w:eastAsia="Times New Roman" w:hAnsi="Times New Roman" w:cs="Times New Roman"/>
                <w:sz w:val="24"/>
                <w:szCs w:val="24"/>
              </w:rPr>
              <w:t>;</w:t>
            </w:r>
          </w:p>
          <w:p w14:paraId="1046D30E"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Dell</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OpenManage</w:t>
            </w:r>
            <w:proofErr w:type="spellEnd"/>
            <w:r w:rsidRPr="00A173E1">
              <w:rPr>
                <w:rFonts w:ascii="Times New Roman" w:eastAsia="Times New Roman" w:hAnsi="Times New Roman" w:cs="Times New Roman"/>
                <w:sz w:val="24"/>
                <w:szCs w:val="24"/>
              </w:rPr>
              <w:t>;</w:t>
            </w:r>
          </w:p>
          <w:p w14:paraId="081B7E81"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IBM </w:t>
            </w:r>
            <w:proofErr w:type="spellStart"/>
            <w:r w:rsidRPr="00A173E1">
              <w:rPr>
                <w:rFonts w:ascii="Times New Roman" w:eastAsia="Times New Roman" w:hAnsi="Times New Roman" w:cs="Times New Roman"/>
                <w:sz w:val="24"/>
                <w:szCs w:val="24"/>
              </w:rPr>
              <w:t>mainframes</w:t>
            </w:r>
            <w:proofErr w:type="spellEnd"/>
            <w:r w:rsidRPr="00A173E1">
              <w:rPr>
                <w:rFonts w:ascii="Times New Roman" w:eastAsia="Times New Roman" w:hAnsi="Times New Roman" w:cs="Times New Roman"/>
                <w:sz w:val="24"/>
                <w:szCs w:val="24"/>
              </w:rPr>
              <w:t>;</w:t>
            </w:r>
          </w:p>
          <w:p w14:paraId="21D0DA1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Compaq</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InsightManager</w:t>
            </w:r>
            <w:proofErr w:type="spellEnd"/>
            <w:r w:rsidRPr="00A173E1">
              <w:rPr>
                <w:rFonts w:ascii="Times New Roman" w:eastAsia="Times New Roman" w:hAnsi="Times New Roman" w:cs="Times New Roman"/>
                <w:sz w:val="24"/>
                <w:szCs w:val="24"/>
              </w:rPr>
              <w:t>;</w:t>
            </w:r>
          </w:p>
          <w:p w14:paraId="644BFCF9"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Compaq</w:t>
            </w:r>
            <w:proofErr w:type="spellEnd"/>
            <w:r w:rsidRPr="00A173E1">
              <w:rPr>
                <w:rFonts w:ascii="Times New Roman" w:eastAsia="Times New Roman" w:hAnsi="Times New Roman" w:cs="Times New Roman"/>
                <w:sz w:val="24"/>
                <w:szCs w:val="24"/>
              </w:rPr>
              <w:t xml:space="preserve"> VMS;</w:t>
            </w:r>
          </w:p>
          <w:p w14:paraId="5234BB04"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VMware</w:t>
            </w:r>
            <w:proofErr w:type="spellEnd"/>
            <w:r w:rsidRPr="00A173E1">
              <w:rPr>
                <w:rFonts w:ascii="Times New Roman" w:eastAsia="Times New Roman" w:hAnsi="Times New Roman" w:cs="Times New Roman"/>
                <w:sz w:val="24"/>
                <w:szCs w:val="24"/>
              </w:rPr>
              <w:t xml:space="preserve"> ESX 3;</w:t>
            </w:r>
          </w:p>
          <w:p w14:paraId="4BF76B22"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Microsoft </w:t>
            </w:r>
            <w:proofErr w:type="spellStart"/>
            <w:r w:rsidRPr="00A173E1">
              <w:rPr>
                <w:rFonts w:ascii="Times New Roman" w:eastAsia="Times New Roman" w:hAnsi="Times New Roman" w:cs="Times New Roman"/>
                <w:sz w:val="24"/>
                <w:szCs w:val="24"/>
              </w:rPr>
              <w:t>Virtual</w:t>
            </w:r>
            <w:proofErr w:type="spellEnd"/>
            <w:r w:rsidRPr="00A173E1">
              <w:rPr>
                <w:rFonts w:ascii="Times New Roman" w:eastAsia="Times New Roman" w:hAnsi="Times New Roman" w:cs="Times New Roman"/>
                <w:sz w:val="24"/>
                <w:szCs w:val="24"/>
              </w:rPr>
              <w:t xml:space="preserve"> Server;</w:t>
            </w:r>
          </w:p>
          <w:p w14:paraId="6DD5D9A8"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Java</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Virtual</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Machine</w:t>
            </w:r>
            <w:proofErr w:type="spellEnd"/>
            <w:r w:rsidRPr="00A173E1">
              <w:rPr>
                <w:rFonts w:ascii="Times New Roman" w:eastAsia="Times New Roman" w:hAnsi="Times New Roman" w:cs="Times New Roman"/>
                <w:sz w:val="24"/>
                <w:szCs w:val="24"/>
              </w:rPr>
              <w:t>.</w:t>
            </w:r>
          </w:p>
        </w:tc>
      </w:tr>
      <w:tr w:rsidR="00A173E1" w:rsidRPr="00A173E1" w14:paraId="62BEBB18"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23CAB712"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32DDE057"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сховищ (SAN, NAS) таких як:</w:t>
            </w:r>
          </w:p>
          <w:p w14:paraId="04F4494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Brocade</w:t>
            </w:r>
            <w:proofErr w:type="spellEnd"/>
            <w:r w:rsidRPr="00A173E1">
              <w:rPr>
                <w:rFonts w:ascii="Times New Roman" w:eastAsia="Times New Roman" w:hAnsi="Times New Roman" w:cs="Times New Roman"/>
                <w:sz w:val="24"/>
                <w:szCs w:val="24"/>
              </w:rPr>
              <w:t>;</w:t>
            </w:r>
          </w:p>
          <w:p w14:paraId="2AAC740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Network</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Appliance</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Filers</w:t>
            </w:r>
            <w:proofErr w:type="spellEnd"/>
            <w:r w:rsidRPr="00A173E1">
              <w:rPr>
                <w:rFonts w:ascii="Times New Roman" w:eastAsia="Times New Roman" w:hAnsi="Times New Roman" w:cs="Times New Roman"/>
                <w:sz w:val="24"/>
                <w:szCs w:val="24"/>
              </w:rPr>
              <w:t>;</w:t>
            </w:r>
          </w:p>
          <w:p w14:paraId="34EAEED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Celerra</w:t>
            </w:r>
            <w:proofErr w:type="spellEnd"/>
            <w:r w:rsidRPr="00A173E1">
              <w:rPr>
                <w:rFonts w:ascii="Times New Roman" w:eastAsia="Times New Roman" w:hAnsi="Times New Roman" w:cs="Times New Roman"/>
                <w:sz w:val="24"/>
                <w:szCs w:val="24"/>
              </w:rPr>
              <w:t>;</w:t>
            </w:r>
          </w:p>
          <w:p w14:paraId="33DA0CA5"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EMC/</w:t>
            </w:r>
            <w:proofErr w:type="spellStart"/>
            <w:r w:rsidRPr="00A173E1">
              <w:rPr>
                <w:rFonts w:ascii="Times New Roman" w:eastAsia="Times New Roman" w:hAnsi="Times New Roman" w:cs="Times New Roman"/>
                <w:sz w:val="24"/>
                <w:szCs w:val="24"/>
              </w:rPr>
              <w:t>Clariion</w:t>
            </w:r>
            <w:proofErr w:type="spellEnd"/>
            <w:r w:rsidRPr="00A173E1">
              <w:rPr>
                <w:rFonts w:ascii="Times New Roman" w:eastAsia="Times New Roman" w:hAnsi="Times New Roman" w:cs="Times New Roman"/>
                <w:sz w:val="24"/>
                <w:szCs w:val="24"/>
              </w:rPr>
              <w:t>;</w:t>
            </w:r>
          </w:p>
          <w:p w14:paraId="4F23DB8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Hitachi</w:t>
            </w:r>
            <w:proofErr w:type="spellEnd"/>
            <w:r w:rsidRPr="00A173E1">
              <w:rPr>
                <w:rFonts w:ascii="Times New Roman" w:eastAsia="Times New Roman" w:hAnsi="Times New Roman" w:cs="Times New Roman"/>
                <w:sz w:val="24"/>
                <w:szCs w:val="24"/>
              </w:rPr>
              <w:t>;</w:t>
            </w:r>
          </w:p>
          <w:p w14:paraId="2DAA803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BlueArc</w:t>
            </w:r>
            <w:proofErr w:type="spellEnd"/>
            <w:r w:rsidRPr="00A173E1">
              <w:rPr>
                <w:rFonts w:ascii="Times New Roman" w:eastAsia="Times New Roman" w:hAnsi="Times New Roman" w:cs="Times New Roman"/>
                <w:sz w:val="24"/>
                <w:szCs w:val="24"/>
              </w:rPr>
              <w:t xml:space="preserve"> SAN;</w:t>
            </w:r>
          </w:p>
          <w:p w14:paraId="0106CA6E"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HP </w:t>
            </w:r>
            <w:proofErr w:type="spellStart"/>
            <w:r w:rsidRPr="00A173E1">
              <w:rPr>
                <w:rFonts w:ascii="Times New Roman" w:eastAsia="Times New Roman" w:hAnsi="Times New Roman" w:cs="Times New Roman"/>
                <w:sz w:val="24"/>
                <w:szCs w:val="24"/>
              </w:rPr>
              <w:t>Surestore</w:t>
            </w:r>
            <w:proofErr w:type="spellEnd"/>
            <w:r w:rsidRPr="00A173E1">
              <w:rPr>
                <w:rFonts w:ascii="Times New Roman" w:eastAsia="Times New Roman" w:hAnsi="Times New Roman" w:cs="Times New Roman"/>
                <w:sz w:val="24"/>
                <w:szCs w:val="24"/>
              </w:rPr>
              <w:t>;</w:t>
            </w:r>
          </w:p>
          <w:p w14:paraId="7C9093C2"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Sun</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StorEdge</w:t>
            </w:r>
            <w:proofErr w:type="spellEnd"/>
            <w:r w:rsidRPr="00A173E1">
              <w:rPr>
                <w:rFonts w:ascii="Times New Roman" w:eastAsia="Times New Roman" w:hAnsi="Times New Roman" w:cs="Times New Roman"/>
                <w:sz w:val="24"/>
                <w:szCs w:val="24"/>
              </w:rPr>
              <w:t>;</w:t>
            </w:r>
          </w:p>
          <w:p w14:paraId="5181635A"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Dell</w:t>
            </w:r>
            <w:proofErr w:type="spellEnd"/>
            <w:r w:rsidRPr="00A173E1">
              <w:rPr>
                <w:rFonts w:ascii="Times New Roman" w:eastAsia="Times New Roman" w:hAnsi="Times New Roman" w:cs="Times New Roman"/>
                <w:sz w:val="24"/>
                <w:szCs w:val="24"/>
              </w:rPr>
              <w:t>;</w:t>
            </w:r>
          </w:p>
          <w:p w14:paraId="6BCD4C09"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IBM </w:t>
            </w:r>
            <w:proofErr w:type="spellStart"/>
            <w:r w:rsidRPr="00A173E1">
              <w:rPr>
                <w:rFonts w:ascii="Times New Roman" w:eastAsia="Times New Roman" w:hAnsi="Times New Roman" w:cs="Times New Roman"/>
                <w:sz w:val="24"/>
                <w:szCs w:val="24"/>
              </w:rPr>
              <w:t>Storage</w:t>
            </w:r>
            <w:proofErr w:type="spellEnd"/>
            <w:r w:rsidRPr="00A173E1">
              <w:rPr>
                <w:rFonts w:ascii="Times New Roman" w:eastAsia="Times New Roman" w:hAnsi="Times New Roman" w:cs="Times New Roman"/>
                <w:sz w:val="24"/>
                <w:szCs w:val="24"/>
              </w:rPr>
              <w:t>;</w:t>
            </w:r>
          </w:p>
          <w:p w14:paraId="3DEAD507"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Symmetrix</w:t>
            </w:r>
            <w:proofErr w:type="spellEnd"/>
            <w:r w:rsidRPr="00A173E1">
              <w:rPr>
                <w:rFonts w:ascii="Times New Roman" w:eastAsia="Times New Roman" w:hAnsi="Times New Roman" w:cs="Times New Roman"/>
                <w:sz w:val="24"/>
                <w:szCs w:val="24"/>
              </w:rPr>
              <w:t>;</w:t>
            </w:r>
          </w:p>
          <w:p w14:paraId="74FB4CC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ADIC;</w:t>
            </w:r>
          </w:p>
          <w:p w14:paraId="67BD42F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McData</w:t>
            </w:r>
            <w:proofErr w:type="spellEnd"/>
            <w:r w:rsidRPr="00A173E1">
              <w:rPr>
                <w:rFonts w:ascii="Times New Roman" w:eastAsia="Times New Roman" w:hAnsi="Times New Roman" w:cs="Times New Roman"/>
                <w:sz w:val="24"/>
                <w:szCs w:val="24"/>
              </w:rPr>
              <w:t>.</w:t>
            </w:r>
          </w:p>
        </w:tc>
      </w:tr>
      <w:tr w:rsidR="00A173E1" w:rsidRPr="00A173E1" w14:paraId="7867704A"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4A1C7EDB"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423B6A0E"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підтримувати моніторинг </w:t>
            </w:r>
            <w:proofErr w:type="spellStart"/>
            <w:r w:rsidRPr="00A173E1">
              <w:rPr>
                <w:rFonts w:ascii="Times New Roman" w:eastAsia="Times New Roman" w:hAnsi="Times New Roman" w:cs="Times New Roman"/>
                <w:sz w:val="24"/>
                <w:szCs w:val="24"/>
              </w:rPr>
              <w:t>міжмережевих</w:t>
            </w:r>
            <w:proofErr w:type="spellEnd"/>
            <w:r w:rsidRPr="00A173E1">
              <w:rPr>
                <w:rFonts w:ascii="Times New Roman" w:eastAsia="Times New Roman" w:hAnsi="Times New Roman" w:cs="Times New Roman"/>
                <w:sz w:val="24"/>
                <w:szCs w:val="24"/>
              </w:rPr>
              <w:t xml:space="preserve"> брандмауерів таких як:</w:t>
            </w:r>
          </w:p>
          <w:p w14:paraId="7C60746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Checkpoint</w:t>
            </w:r>
            <w:proofErr w:type="spellEnd"/>
            <w:r w:rsidRPr="00A173E1">
              <w:rPr>
                <w:rFonts w:ascii="Times New Roman" w:eastAsia="Times New Roman" w:hAnsi="Times New Roman" w:cs="Times New Roman"/>
                <w:sz w:val="24"/>
                <w:szCs w:val="24"/>
              </w:rPr>
              <w:t>;</w:t>
            </w:r>
          </w:p>
          <w:p w14:paraId="1B5E5AA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 xml:space="preserve"> PIX;</w:t>
            </w:r>
          </w:p>
          <w:p w14:paraId="0DC96EC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Juniper</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Netscreen</w:t>
            </w:r>
            <w:proofErr w:type="spellEnd"/>
            <w:r w:rsidRPr="00A173E1">
              <w:rPr>
                <w:rFonts w:ascii="Times New Roman" w:eastAsia="Times New Roman" w:hAnsi="Times New Roman" w:cs="Times New Roman"/>
                <w:sz w:val="24"/>
                <w:szCs w:val="24"/>
              </w:rPr>
              <w:t>;</w:t>
            </w:r>
          </w:p>
          <w:p w14:paraId="03AC5AA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Blue</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Coat</w:t>
            </w:r>
            <w:proofErr w:type="spellEnd"/>
            <w:r w:rsidRPr="00A173E1">
              <w:rPr>
                <w:rFonts w:ascii="Times New Roman" w:eastAsia="Times New Roman" w:hAnsi="Times New Roman" w:cs="Times New Roman"/>
                <w:sz w:val="24"/>
                <w:szCs w:val="24"/>
              </w:rPr>
              <w:t>;</w:t>
            </w:r>
          </w:p>
          <w:p w14:paraId="061FA57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Fortinet</w:t>
            </w:r>
            <w:proofErr w:type="spellEnd"/>
            <w:r w:rsidRPr="00A173E1">
              <w:rPr>
                <w:rFonts w:ascii="Times New Roman" w:eastAsia="Times New Roman" w:hAnsi="Times New Roman" w:cs="Times New Roman"/>
                <w:sz w:val="24"/>
                <w:szCs w:val="24"/>
              </w:rPr>
              <w:t>;</w:t>
            </w:r>
          </w:p>
          <w:p w14:paraId="071CBC47"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IronPort</w:t>
            </w:r>
            <w:proofErr w:type="spellEnd"/>
            <w:r w:rsidRPr="00A173E1">
              <w:rPr>
                <w:rFonts w:ascii="Times New Roman" w:eastAsia="Times New Roman" w:hAnsi="Times New Roman" w:cs="Times New Roman"/>
                <w:sz w:val="24"/>
                <w:szCs w:val="24"/>
              </w:rPr>
              <w:t>;</w:t>
            </w:r>
          </w:p>
          <w:p w14:paraId="746F99AD"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NetASQ</w:t>
            </w:r>
            <w:proofErr w:type="spellEnd"/>
            <w:r w:rsidRPr="00A173E1">
              <w:rPr>
                <w:rFonts w:ascii="Times New Roman" w:eastAsia="Times New Roman" w:hAnsi="Times New Roman" w:cs="Times New Roman"/>
                <w:sz w:val="24"/>
                <w:szCs w:val="24"/>
              </w:rPr>
              <w:t>.</w:t>
            </w:r>
          </w:p>
        </w:tc>
      </w:tr>
      <w:tr w:rsidR="00A173E1" w:rsidRPr="00A173E1" w14:paraId="0DF691C6"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34BBD32"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7BA5F9CF"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джерел живлення та охолодження для дата центрів таких як:</w:t>
            </w:r>
          </w:p>
          <w:p w14:paraId="296D6174"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Liebert</w:t>
            </w:r>
            <w:proofErr w:type="spellEnd"/>
            <w:r w:rsidRPr="00A173E1">
              <w:rPr>
                <w:rFonts w:ascii="Times New Roman" w:eastAsia="Times New Roman" w:hAnsi="Times New Roman" w:cs="Times New Roman"/>
                <w:sz w:val="24"/>
                <w:szCs w:val="24"/>
              </w:rPr>
              <w:t xml:space="preserve"> UPS;</w:t>
            </w:r>
          </w:p>
          <w:p w14:paraId="64405E4E"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Liebert</w:t>
            </w:r>
            <w:proofErr w:type="spellEnd"/>
            <w:r w:rsidRPr="00A173E1">
              <w:rPr>
                <w:rFonts w:ascii="Times New Roman" w:eastAsia="Times New Roman" w:hAnsi="Times New Roman" w:cs="Times New Roman"/>
                <w:sz w:val="24"/>
                <w:szCs w:val="24"/>
              </w:rPr>
              <w:t xml:space="preserve"> HVAC;</w:t>
            </w:r>
          </w:p>
          <w:p w14:paraId="146EB4E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lastRenderedPageBreak/>
              <w:t>Amperion</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Broadband</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over</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PowerLine</w:t>
            </w:r>
            <w:proofErr w:type="spellEnd"/>
            <w:r w:rsidRPr="00A173E1">
              <w:rPr>
                <w:rFonts w:ascii="Times New Roman" w:eastAsia="Times New Roman" w:hAnsi="Times New Roman" w:cs="Times New Roman"/>
                <w:sz w:val="24"/>
                <w:szCs w:val="24"/>
              </w:rPr>
              <w:t>;</w:t>
            </w:r>
          </w:p>
          <w:p w14:paraId="761E97DE"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APC UPS;</w:t>
            </w:r>
          </w:p>
          <w:p w14:paraId="0EB52852"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Omnitronix</w:t>
            </w:r>
            <w:proofErr w:type="spellEnd"/>
            <w:r w:rsidRPr="00A173E1">
              <w:rPr>
                <w:rFonts w:ascii="Times New Roman" w:eastAsia="Times New Roman" w:hAnsi="Times New Roman" w:cs="Times New Roman"/>
                <w:sz w:val="24"/>
                <w:szCs w:val="24"/>
              </w:rPr>
              <w:t>;</w:t>
            </w:r>
          </w:p>
          <w:p w14:paraId="56D89141"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Valere</w:t>
            </w:r>
            <w:proofErr w:type="spellEnd"/>
            <w:r w:rsidRPr="00A173E1">
              <w:rPr>
                <w:rFonts w:ascii="Times New Roman" w:eastAsia="Times New Roman" w:hAnsi="Times New Roman" w:cs="Times New Roman"/>
                <w:sz w:val="24"/>
                <w:szCs w:val="24"/>
              </w:rPr>
              <w:t xml:space="preserve"> DC </w:t>
            </w:r>
            <w:proofErr w:type="spellStart"/>
            <w:r w:rsidRPr="00A173E1">
              <w:rPr>
                <w:rFonts w:ascii="Times New Roman" w:eastAsia="Times New Roman" w:hAnsi="Times New Roman" w:cs="Times New Roman"/>
                <w:sz w:val="24"/>
                <w:szCs w:val="24"/>
              </w:rPr>
              <w:t>Generators</w:t>
            </w:r>
            <w:proofErr w:type="spellEnd"/>
            <w:r w:rsidRPr="00A173E1">
              <w:rPr>
                <w:rFonts w:ascii="Times New Roman" w:eastAsia="Times New Roman" w:hAnsi="Times New Roman" w:cs="Times New Roman"/>
                <w:sz w:val="24"/>
                <w:szCs w:val="24"/>
              </w:rPr>
              <w:t>;</w:t>
            </w:r>
          </w:p>
          <w:p w14:paraId="4D493EA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 xml:space="preserve">ADIC </w:t>
            </w:r>
            <w:proofErr w:type="spellStart"/>
            <w:r w:rsidRPr="00A173E1">
              <w:rPr>
                <w:rFonts w:ascii="Times New Roman" w:eastAsia="Times New Roman" w:hAnsi="Times New Roman" w:cs="Times New Roman"/>
                <w:sz w:val="24"/>
                <w:szCs w:val="24"/>
              </w:rPr>
              <w:t>Tape</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Library</w:t>
            </w:r>
            <w:proofErr w:type="spellEnd"/>
            <w:r w:rsidRPr="00A173E1">
              <w:rPr>
                <w:rFonts w:ascii="Times New Roman" w:eastAsia="Times New Roman" w:hAnsi="Times New Roman" w:cs="Times New Roman"/>
                <w:sz w:val="24"/>
                <w:szCs w:val="24"/>
              </w:rPr>
              <w:t>.</w:t>
            </w:r>
          </w:p>
        </w:tc>
      </w:tr>
      <w:tr w:rsidR="00A173E1" w:rsidRPr="00A173E1" w14:paraId="6C4D8DBB"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4743165F"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73BE1240"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підтримувати моніторинг </w:t>
            </w:r>
            <w:proofErr w:type="spellStart"/>
            <w:r w:rsidRPr="00A173E1">
              <w:rPr>
                <w:rFonts w:ascii="Times New Roman" w:eastAsia="Times New Roman" w:hAnsi="Times New Roman" w:cs="Times New Roman"/>
                <w:sz w:val="24"/>
                <w:szCs w:val="24"/>
              </w:rPr>
              <w:t>Voice</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Over</w:t>
            </w:r>
            <w:proofErr w:type="spellEnd"/>
            <w:r w:rsidRPr="00A173E1">
              <w:rPr>
                <w:rFonts w:ascii="Times New Roman" w:eastAsia="Times New Roman" w:hAnsi="Times New Roman" w:cs="Times New Roman"/>
                <w:sz w:val="24"/>
                <w:szCs w:val="24"/>
              </w:rPr>
              <w:t xml:space="preserve"> IP</w:t>
            </w:r>
          </w:p>
          <w:p w14:paraId="5DCF15FD" w14:textId="77777777" w:rsidR="00A173E1" w:rsidRPr="00A173E1" w:rsidRDefault="00A173E1" w:rsidP="00A173E1">
            <w:pPr>
              <w:pStyle w:val="normal1"/>
              <w:spacing w:after="0" w:line="240" w:lineRule="auto"/>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 пристроїв таких як:</w:t>
            </w:r>
          </w:p>
          <w:p w14:paraId="6C8B64BF"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Broadworks</w:t>
            </w:r>
            <w:proofErr w:type="spellEnd"/>
            <w:r w:rsidRPr="00A173E1">
              <w:rPr>
                <w:rFonts w:ascii="Times New Roman" w:eastAsia="Times New Roman" w:hAnsi="Times New Roman" w:cs="Times New Roman"/>
                <w:sz w:val="24"/>
                <w:szCs w:val="24"/>
              </w:rPr>
              <w:t>;</w:t>
            </w:r>
          </w:p>
          <w:p w14:paraId="3AA4EB6C"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 xml:space="preserve"> IP-SLA (SAA);</w:t>
            </w:r>
          </w:p>
          <w:p w14:paraId="63E867C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Call</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Manager</w:t>
            </w:r>
            <w:proofErr w:type="spellEnd"/>
            <w:r w:rsidRPr="00A173E1">
              <w:rPr>
                <w:rFonts w:ascii="Times New Roman" w:eastAsia="Times New Roman" w:hAnsi="Times New Roman" w:cs="Times New Roman"/>
                <w:sz w:val="24"/>
                <w:szCs w:val="24"/>
              </w:rPr>
              <w:t>;</w:t>
            </w:r>
          </w:p>
          <w:p w14:paraId="65E1F317"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 xml:space="preserve"> ITP;</w:t>
            </w:r>
          </w:p>
          <w:p w14:paraId="2837A33B"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Kagoor</w:t>
            </w:r>
            <w:proofErr w:type="spellEnd"/>
            <w:r w:rsidRPr="00A173E1">
              <w:rPr>
                <w:rFonts w:ascii="Times New Roman" w:eastAsia="Times New Roman" w:hAnsi="Times New Roman" w:cs="Times New Roman"/>
                <w:sz w:val="24"/>
                <w:szCs w:val="24"/>
              </w:rPr>
              <w:t>;</w:t>
            </w:r>
          </w:p>
          <w:p w14:paraId="797DDB28"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Meeting</w:t>
            </w:r>
            <w:proofErr w:type="spellEnd"/>
            <w:r w:rsidRPr="00A173E1">
              <w:rPr>
                <w:rFonts w:ascii="Times New Roman" w:eastAsia="Times New Roman" w:hAnsi="Times New Roman" w:cs="Times New Roman"/>
                <w:sz w:val="24"/>
                <w:szCs w:val="24"/>
              </w:rPr>
              <w:t xml:space="preserve"> </w:t>
            </w:r>
            <w:proofErr w:type="spellStart"/>
            <w:r w:rsidRPr="00A173E1">
              <w:rPr>
                <w:rFonts w:ascii="Times New Roman" w:eastAsia="Times New Roman" w:hAnsi="Times New Roman" w:cs="Times New Roman"/>
                <w:sz w:val="24"/>
                <w:szCs w:val="24"/>
              </w:rPr>
              <w:t>Place</w:t>
            </w:r>
            <w:proofErr w:type="spellEnd"/>
            <w:r w:rsidRPr="00A173E1">
              <w:rPr>
                <w:rFonts w:ascii="Times New Roman" w:eastAsia="Times New Roman" w:hAnsi="Times New Roman" w:cs="Times New Roman"/>
                <w:sz w:val="24"/>
                <w:szCs w:val="24"/>
              </w:rPr>
              <w:t>.</w:t>
            </w:r>
          </w:p>
        </w:tc>
      </w:tr>
      <w:tr w:rsidR="00A173E1" w:rsidRPr="00A173E1" w14:paraId="5D74D41B" w14:textId="77777777" w:rsidTr="00A77932">
        <w:trPr>
          <w:trHeight w:val="2985"/>
        </w:trPr>
        <w:tc>
          <w:tcPr>
            <w:tcW w:w="676" w:type="dxa"/>
            <w:tcBorders>
              <w:top w:val="single" w:sz="4" w:space="0" w:color="000000"/>
              <w:left w:val="single" w:sz="4" w:space="0" w:color="000000"/>
              <w:bottom w:val="single" w:sz="4" w:space="0" w:color="000000"/>
              <w:right w:val="single" w:sz="4" w:space="0" w:color="000000"/>
            </w:tcBorders>
          </w:tcPr>
          <w:p w14:paraId="7643370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0BA3816F" w14:textId="77777777" w:rsidR="00A173E1" w:rsidRPr="00A173E1" w:rsidRDefault="00A173E1" w:rsidP="00A173E1">
            <w:pPr>
              <w:pStyle w:val="normal1"/>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моніторинг мережевих конфігураційних пристроїв таких як:</w:t>
            </w:r>
          </w:p>
          <w:p w14:paraId="1AA92A1C"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3COM;</w:t>
            </w:r>
          </w:p>
          <w:p w14:paraId="66C14325"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Cisco</w:t>
            </w:r>
            <w:proofErr w:type="spellEnd"/>
            <w:r w:rsidRPr="00A173E1">
              <w:rPr>
                <w:rFonts w:ascii="Times New Roman" w:eastAsia="Times New Roman" w:hAnsi="Times New Roman" w:cs="Times New Roman"/>
                <w:sz w:val="24"/>
                <w:szCs w:val="24"/>
              </w:rPr>
              <w:t>;</w:t>
            </w:r>
          </w:p>
          <w:p w14:paraId="1F39CD84"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proofErr w:type="spellStart"/>
            <w:r w:rsidRPr="00A173E1">
              <w:rPr>
                <w:rFonts w:ascii="Times New Roman" w:eastAsia="Times New Roman" w:hAnsi="Times New Roman" w:cs="Times New Roman"/>
                <w:sz w:val="24"/>
                <w:szCs w:val="24"/>
              </w:rPr>
              <w:t>Dell</w:t>
            </w:r>
            <w:proofErr w:type="spellEnd"/>
            <w:r w:rsidRPr="00A173E1">
              <w:rPr>
                <w:rFonts w:ascii="Times New Roman" w:eastAsia="Times New Roman" w:hAnsi="Times New Roman" w:cs="Times New Roman"/>
                <w:sz w:val="24"/>
                <w:szCs w:val="24"/>
              </w:rPr>
              <w:t>;</w:t>
            </w:r>
          </w:p>
          <w:p w14:paraId="078E0A16"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ENTERASYS;</w:t>
            </w:r>
          </w:p>
          <w:p w14:paraId="6F25AC41"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EXTREME;</w:t>
            </w:r>
          </w:p>
          <w:p w14:paraId="134E37A5"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F5;</w:t>
            </w:r>
          </w:p>
          <w:p w14:paraId="3AB97C80"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FOUNDRY;</w:t>
            </w:r>
          </w:p>
          <w:p w14:paraId="78E9FFE1"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HP;</w:t>
            </w:r>
          </w:p>
          <w:p w14:paraId="440A6295" w14:textId="77777777" w:rsidR="00A173E1" w:rsidRPr="00A173E1" w:rsidRDefault="00A173E1" w:rsidP="00A173E1">
            <w:pPr>
              <w:pStyle w:val="normal1"/>
              <w:numPr>
                <w:ilvl w:val="0"/>
                <w:numId w:val="3"/>
              </w:numPr>
              <w:spacing w:after="0" w:line="240" w:lineRule="auto"/>
              <w:rPr>
                <w:rFonts w:ascii="Times New Roman" w:hAnsi="Times New Roman" w:cs="Times New Roman"/>
                <w:sz w:val="24"/>
                <w:szCs w:val="24"/>
              </w:rPr>
            </w:pPr>
            <w:r w:rsidRPr="00A173E1">
              <w:rPr>
                <w:rFonts w:ascii="Times New Roman" w:eastAsia="Times New Roman" w:hAnsi="Times New Roman" w:cs="Times New Roman"/>
                <w:sz w:val="24"/>
                <w:szCs w:val="24"/>
              </w:rPr>
              <w:t>JUNIPER.</w:t>
            </w:r>
          </w:p>
        </w:tc>
      </w:tr>
      <w:tr w:rsidR="00A173E1" w:rsidRPr="00A173E1" w14:paraId="40BEA8E1"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65F9F1D0"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Вимоги до архітектури рішення</w:t>
            </w:r>
          </w:p>
        </w:tc>
      </w:tr>
      <w:tr w:rsidR="00A173E1" w:rsidRPr="00A173E1" w14:paraId="58998C84"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6D61A44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55E8A1F1"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підтримувати режим </w:t>
            </w:r>
            <w:proofErr w:type="spellStart"/>
            <w:r w:rsidRPr="00A173E1">
              <w:rPr>
                <w:rFonts w:ascii="Times New Roman" w:eastAsia="Times New Roman" w:hAnsi="Times New Roman" w:cs="Times New Roman"/>
                <w:sz w:val="24"/>
                <w:szCs w:val="24"/>
              </w:rPr>
              <w:t>відмовостійкості</w:t>
            </w:r>
            <w:proofErr w:type="spellEnd"/>
            <w:r w:rsidRPr="00A173E1">
              <w:rPr>
                <w:rFonts w:ascii="Times New Roman" w:eastAsia="Times New Roman" w:hAnsi="Times New Roman" w:cs="Times New Roman"/>
                <w:sz w:val="24"/>
                <w:szCs w:val="24"/>
              </w:rPr>
              <w:t xml:space="preserve"> з показником доступності щонайменше у  99,9 % часу</w:t>
            </w:r>
          </w:p>
        </w:tc>
      </w:tr>
      <w:tr w:rsidR="00A173E1" w:rsidRPr="00A173E1" w14:paraId="388382D8"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5B0885C"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306BF42F"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розгортання в хмарному середовищі компонентів системи</w:t>
            </w:r>
          </w:p>
        </w:tc>
      </w:tr>
      <w:tr w:rsidR="00A173E1" w:rsidRPr="00A173E1" w14:paraId="796E57B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283F7528"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257E4D75"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розгортання локальних колекторів в інфраструктурі для надсилання інформації в хмарне середовище</w:t>
            </w:r>
          </w:p>
        </w:tc>
      </w:tr>
      <w:tr w:rsidR="00A173E1" w:rsidRPr="00A173E1" w14:paraId="37F07A54"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92916D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585E625D"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розгортання локального середовища в інфраструктурі клієнта</w:t>
            </w:r>
          </w:p>
        </w:tc>
      </w:tr>
      <w:tr w:rsidR="00A173E1" w:rsidRPr="00A173E1" w14:paraId="3FE71B2A"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F91BB9D"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34D73A5F"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Система повинна підтримувати розгортання локального середовища в інфраструктурі клієнта </w:t>
            </w:r>
          </w:p>
        </w:tc>
      </w:tr>
      <w:tr w:rsidR="00A173E1" w:rsidRPr="00A173E1" w14:paraId="62EE31AB"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2009ED21"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lang w:val="ru-RU"/>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37DAE0C8"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підтримувати API для інтеграції з сторонніми сервісами.</w:t>
            </w:r>
          </w:p>
        </w:tc>
      </w:tr>
      <w:tr w:rsidR="00A173E1" w:rsidRPr="00A173E1" w14:paraId="48DC68CB" w14:textId="77777777" w:rsidTr="00A77932">
        <w:trPr>
          <w:trHeight w:val="320"/>
        </w:trPr>
        <w:tc>
          <w:tcPr>
            <w:tcW w:w="10598" w:type="dxa"/>
            <w:gridSpan w:val="2"/>
            <w:tcBorders>
              <w:top w:val="single" w:sz="4" w:space="0" w:color="000000"/>
              <w:left w:val="single" w:sz="4" w:space="0" w:color="000000"/>
              <w:bottom w:val="single" w:sz="4" w:space="0" w:color="000000"/>
              <w:right w:val="single" w:sz="4" w:space="0" w:color="auto"/>
            </w:tcBorders>
            <w:shd w:val="clear" w:color="auto" w:fill="F2F2F2"/>
          </w:tcPr>
          <w:p w14:paraId="66F4653B" w14:textId="77777777" w:rsidR="00A173E1" w:rsidRPr="00A173E1" w:rsidRDefault="00A173E1" w:rsidP="00A173E1">
            <w:pPr>
              <w:pStyle w:val="normal1"/>
              <w:tabs>
                <w:tab w:val="left" w:pos="420"/>
              </w:tabs>
              <w:spacing w:after="0" w:line="240" w:lineRule="auto"/>
              <w:jc w:val="center"/>
              <w:rPr>
                <w:rFonts w:ascii="Times New Roman" w:eastAsia="Times New Roman" w:hAnsi="Times New Roman" w:cs="Times New Roman"/>
                <w:b/>
                <w:sz w:val="24"/>
                <w:szCs w:val="24"/>
              </w:rPr>
            </w:pPr>
            <w:r w:rsidRPr="00A173E1">
              <w:rPr>
                <w:rFonts w:ascii="Times New Roman" w:eastAsia="Times New Roman" w:hAnsi="Times New Roman" w:cs="Times New Roman"/>
                <w:b/>
                <w:sz w:val="24"/>
                <w:szCs w:val="24"/>
              </w:rPr>
              <w:t>Підтримка рішення та супровід</w:t>
            </w:r>
          </w:p>
        </w:tc>
      </w:tr>
      <w:tr w:rsidR="00A173E1" w:rsidRPr="00A173E1" w14:paraId="55E3189B"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4AACFDDA"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69936052"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Спеціалізована підтримка з доступом до порталу виробника</w:t>
            </w:r>
          </w:p>
        </w:tc>
      </w:tr>
      <w:tr w:rsidR="00A173E1" w:rsidRPr="00A173E1" w14:paraId="039CCE86"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433E4F4"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55E314AB"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Початковий інструктаж, адаптація користувачів</w:t>
            </w:r>
          </w:p>
        </w:tc>
      </w:tr>
      <w:tr w:rsidR="00A173E1" w:rsidRPr="00A173E1" w14:paraId="4F485E37"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1AB9B76"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auto"/>
            </w:tcBorders>
            <w:vAlign w:val="center"/>
          </w:tcPr>
          <w:p w14:paraId="1F77BADC"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В рамках розгортання рішення, проводиться одно або двох-денна сесія навчання від виробника програмного забезпечення або його представника на ринку України</w:t>
            </w:r>
          </w:p>
        </w:tc>
      </w:tr>
      <w:tr w:rsidR="00A173E1" w:rsidRPr="00A173E1" w14:paraId="5A315767"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26534B15"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64743C11"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Отримання від виробника або його представника на ринку України рекомендацій по налаштуваннях заснованих на досвіді успішних </w:t>
            </w:r>
            <w:proofErr w:type="spellStart"/>
            <w:r w:rsidRPr="00A173E1">
              <w:rPr>
                <w:rFonts w:ascii="Times New Roman" w:eastAsia="Times New Roman" w:hAnsi="Times New Roman" w:cs="Times New Roman"/>
                <w:sz w:val="24"/>
                <w:szCs w:val="24"/>
              </w:rPr>
              <w:t>впроваджень</w:t>
            </w:r>
            <w:proofErr w:type="spellEnd"/>
            <w:r w:rsidRPr="00A173E1">
              <w:rPr>
                <w:rFonts w:ascii="Times New Roman" w:eastAsia="Times New Roman" w:hAnsi="Times New Roman" w:cs="Times New Roman"/>
                <w:sz w:val="24"/>
                <w:szCs w:val="24"/>
              </w:rPr>
              <w:t xml:space="preserve"> в інших клієнтів</w:t>
            </w:r>
          </w:p>
        </w:tc>
      </w:tr>
      <w:tr w:rsidR="00A173E1" w:rsidRPr="00A173E1" w14:paraId="5F42AADB"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1F2F498"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509E2D74"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Перша лінія підтримки повинна бути доступна в Україні від розробника або його офіційного представника</w:t>
            </w:r>
          </w:p>
        </w:tc>
      </w:tr>
      <w:tr w:rsidR="00A173E1" w:rsidRPr="00A173E1" w14:paraId="08CAB7B7"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1BA18D18"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1FAE9D06"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Система повинна мати можливість відновлення після технічних проблем.</w:t>
            </w:r>
          </w:p>
        </w:tc>
      </w:tr>
      <w:tr w:rsidR="00A173E1" w:rsidRPr="00A173E1" w14:paraId="6071B1DB"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63F6945C"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05A6860F"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Консультація та надання рекомендацій щодо готовності інфраструктури Замовника до впровадження та налаштування Системи</w:t>
            </w:r>
          </w:p>
        </w:tc>
      </w:tr>
      <w:tr w:rsidR="00A173E1" w:rsidRPr="00A173E1" w14:paraId="26D4560E"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4C1188C"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7ED75B3E"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Надати вимоги для встановлення</w:t>
            </w:r>
          </w:p>
        </w:tc>
      </w:tr>
      <w:tr w:rsidR="00A173E1" w:rsidRPr="00A173E1" w14:paraId="65ABC614"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3AF62CBB"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111ECD04"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Надати рекомендації щодо налаштування </w:t>
            </w:r>
          </w:p>
        </w:tc>
      </w:tr>
      <w:tr w:rsidR="00A173E1" w:rsidRPr="00A173E1" w14:paraId="56ECA9A7"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09DACCE1"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29F27E86"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Забезпечити супровід протягом 2 тижнів з моменту встановлення</w:t>
            </w:r>
          </w:p>
        </w:tc>
      </w:tr>
      <w:tr w:rsidR="00A173E1" w:rsidRPr="00A173E1" w14:paraId="1D3A3CCD"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03556BD"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294D8028"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Консультації щодо роботи з сповіщеннями та панеллю керування </w:t>
            </w:r>
          </w:p>
        </w:tc>
      </w:tr>
      <w:tr w:rsidR="00A173E1" w:rsidRPr="00A173E1" w14:paraId="09F4E2D7" w14:textId="77777777" w:rsidTr="00A77932">
        <w:trPr>
          <w:trHeight w:val="320"/>
        </w:trPr>
        <w:tc>
          <w:tcPr>
            <w:tcW w:w="676" w:type="dxa"/>
            <w:tcBorders>
              <w:top w:val="single" w:sz="4" w:space="0" w:color="000000"/>
              <w:left w:val="single" w:sz="4" w:space="0" w:color="000000"/>
              <w:bottom w:val="single" w:sz="4" w:space="0" w:color="000000"/>
              <w:right w:val="single" w:sz="4" w:space="0" w:color="000000"/>
            </w:tcBorders>
          </w:tcPr>
          <w:p w14:paraId="5E3B35C6" w14:textId="77777777" w:rsidR="00A173E1" w:rsidRPr="00A173E1" w:rsidRDefault="00A173E1" w:rsidP="00A173E1">
            <w:pPr>
              <w:pStyle w:val="normal1"/>
              <w:numPr>
                <w:ilvl w:val="0"/>
                <w:numId w:val="5"/>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208ADAB4" w14:textId="77777777" w:rsidR="00A173E1" w:rsidRPr="00A173E1" w:rsidRDefault="00A173E1" w:rsidP="00A173E1">
            <w:pPr>
              <w:pStyle w:val="normal1"/>
              <w:spacing w:after="0" w:line="240" w:lineRule="auto"/>
              <w:jc w:val="both"/>
              <w:rPr>
                <w:rFonts w:ascii="Times New Roman" w:eastAsia="Times New Roman" w:hAnsi="Times New Roman" w:cs="Times New Roman"/>
                <w:sz w:val="24"/>
                <w:szCs w:val="24"/>
              </w:rPr>
            </w:pPr>
            <w:r w:rsidRPr="00A173E1">
              <w:rPr>
                <w:rFonts w:ascii="Times New Roman" w:eastAsia="Times New Roman" w:hAnsi="Times New Roman" w:cs="Times New Roman"/>
                <w:sz w:val="24"/>
                <w:szCs w:val="24"/>
              </w:rPr>
              <w:t xml:space="preserve">Супровід по роботі з технічною документацією </w:t>
            </w:r>
          </w:p>
        </w:tc>
      </w:tr>
    </w:tbl>
    <w:p w14:paraId="12AF1578" w14:textId="77777777" w:rsidR="00A173E1" w:rsidRPr="00A173E1" w:rsidRDefault="00A173E1" w:rsidP="00A173E1">
      <w:pPr>
        <w:spacing w:after="0" w:line="240" w:lineRule="auto"/>
        <w:jc w:val="center"/>
        <w:rPr>
          <w:rFonts w:ascii="Times New Roman" w:hAnsi="Times New Roman" w:cs="Times New Roman"/>
          <w:color w:val="000000" w:themeColor="text1"/>
          <w:sz w:val="24"/>
          <w:szCs w:val="24"/>
        </w:rPr>
      </w:pPr>
    </w:p>
    <w:p w14:paraId="61D75B62" w14:textId="77777777" w:rsidR="00A173E1" w:rsidRPr="00A173E1" w:rsidRDefault="00A173E1" w:rsidP="00A173E1">
      <w:pPr>
        <w:spacing w:after="0" w:line="240" w:lineRule="auto"/>
        <w:ind w:firstLine="263"/>
        <w:jc w:val="both"/>
        <w:rPr>
          <w:rFonts w:ascii="Times New Roman" w:hAnsi="Times New Roman" w:cs="Times New Roman"/>
          <w:i/>
          <w:sz w:val="24"/>
          <w:szCs w:val="24"/>
        </w:rPr>
      </w:pPr>
      <w:r w:rsidRPr="00A173E1">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1DD9A0AF" w14:textId="77777777" w:rsidR="00A173E1" w:rsidRPr="00A173E1" w:rsidRDefault="00A173E1" w:rsidP="00A173E1">
      <w:pPr>
        <w:spacing w:after="0" w:line="240" w:lineRule="auto"/>
        <w:ind w:firstLine="263"/>
        <w:jc w:val="both"/>
        <w:rPr>
          <w:rFonts w:ascii="Times New Roman" w:hAnsi="Times New Roman" w:cs="Times New Roman"/>
          <w:i/>
          <w:sz w:val="24"/>
          <w:szCs w:val="24"/>
        </w:rPr>
      </w:pPr>
      <w:r w:rsidRPr="00A173E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0F62A7F" w14:textId="77777777" w:rsidR="00A173E1" w:rsidRPr="00A173E1" w:rsidRDefault="00A173E1" w:rsidP="00A173E1">
      <w:pPr>
        <w:spacing w:after="0" w:line="240" w:lineRule="auto"/>
        <w:jc w:val="both"/>
        <w:rPr>
          <w:rFonts w:ascii="Times New Roman" w:hAnsi="Times New Roman" w:cs="Times New Roman"/>
          <w:i/>
          <w:sz w:val="24"/>
          <w:szCs w:val="24"/>
        </w:rPr>
      </w:pPr>
      <w:r w:rsidRPr="00A173E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EC92A92" w14:textId="77777777" w:rsidR="00A173E1" w:rsidRPr="00A173E1" w:rsidRDefault="00A173E1" w:rsidP="00A173E1">
      <w:pPr>
        <w:spacing w:after="0" w:line="240" w:lineRule="auto"/>
        <w:ind w:firstLine="567"/>
        <w:jc w:val="both"/>
        <w:rPr>
          <w:rFonts w:ascii="Times New Roman" w:hAnsi="Times New Roman" w:cs="Times New Roman"/>
          <w:bCs/>
          <w:i/>
          <w:iCs/>
          <w:sz w:val="24"/>
          <w:szCs w:val="24"/>
        </w:rPr>
      </w:pPr>
      <w:r w:rsidRPr="00A173E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672F41D"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sz w:val="24"/>
          <w:szCs w:val="24"/>
        </w:rPr>
        <w:t xml:space="preserve">У разі надання Товару, характеристики якого відрізняються від характеристик що вказав Замовник, Учаснику необхідно надати Таблицю відповідності за встановленою формою. </w:t>
      </w:r>
    </w:p>
    <w:p w14:paraId="430BC48B" w14:textId="77777777" w:rsidR="00A173E1" w:rsidRPr="00A173E1" w:rsidRDefault="00A173E1" w:rsidP="00A173E1">
      <w:pPr>
        <w:spacing w:after="0" w:line="240" w:lineRule="auto"/>
        <w:ind w:firstLine="567"/>
        <w:jc w:val="both"/>
        <w:rPr>
          <w:rFonts w:ascii="Times New Roman" w:hAnsi="Times New Roman" w:cs="Times New Roman"/>
          <w:b/>
          <w:bCs/>
          <w:sz w:val="24"/>
          <w:szCs w:val="24"/>
        </w:rPr>
      </w:pPr>
    </w:p>
    <w:p w14:paraId="357FD154" w14:textId="77777777" w:rsidR="00A173E1" w:rsidRPr="00A173E1" w:rsidRDefault="00A173E1" w:rsidP="00A173E1">
      <w:pPr>
        <w:spacing w:after="0" w:line="240" w:lineRule="auto"/>
        <w:ind w:firstLine="567"/>
        <w:jc w:val="both"/>
        <w:rPr>
          <w:rFonts w:ascii="Times New Roman" w:hAnsi="Times New Roman" w:cs="Times New Roman"/>
          <w:b/>
          <w:bCs/>
          <w:sz w:val="24"/>
          <w:szCs w:val="24"/>
        </w:rPr>
      </w:pPr>
      <w:r w:rsidRPr="00A173E1">
        <w:rPr>
          <w:rFonts w:ascii="Times New Roman" w:hAnsi="Times New Roman" w:cs="Times New Roman"/>
          <w:b/>
          <w:bCs/>
          <w:sz w:val="24"/>
          <w:szCs w:val="24"/>
        </w:rPr>
        <w:t>Таблиця відповідності</w:t>
      </w:r>
    </w:p>
    <w:p w14:paraId="038E4C46" w14:textId="77777777" w:rsidR="00A173E1" w:rsidRPr="00A173E1" w:rsidRDefault="00A173E1" w:rsidP="00A173E1">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A173E1" w:rsidRPr="00A173E1" w14:paraId="487D9F95" w14:textId="77777777" w:rsidTr="00A77932">
        <w:tc>
          <w:tcPr>
            <w:tcW w:w="1012" w:type="dxa"/>
            <w:tcBorders>
              <w:top w:val="single" w:sz="4" w:space="0" w:color="000000"/>
              <w:left w:val="single" w:sz="4" w:space="0" w:color="000000"/>
              <w:bottom w:val="single" w:sz="4" w:space="0" w:color="000000"/>
              <w:right w:val="single" w:sz="4" w:space="0" w:color="000000"/>
            </w:tcBorders>
            <w:vAlign w:val="center"/>
          </w:tcPr>
          <w:p w14:paraId="0510DB38"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2B6B940" w14:textId="77777777" w:rsidR="00A173E1" w:rsidRPr="00A173E1" w:rsidRDefault="00A173E1" w:rsidP="00A173E1">
            <w:pPr>
              <w:spacing w:after="0" w:line="240" w:lineRule="auto"/>
              <w:ind w:firstLine="567"/>
              <w:jc w:val="both"/>
              <w:rPr>
                <w:rFonts w:ascii="Times New Roman" w:hAnsi="Times New Roman" w:cs="Times New Roman"/>
                <w:bCs/>
                <w:sz w:val="24"/>
                <w:szCs w:val="24"/>
              </w:rPr>
            </w:pPr>
            <w:r w:rsidRPr="00A173E1">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6EDB825"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8BE52DC"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bCs/>
                <w:sz w:val="24"/>
                <w:szCs w:val="24"/>
              </w:rPr>
              <w:t>Опис технічних вимог, які  пропонуються Учасником</w:t>
            </w:r>
          </w:p>
        </w:tc>
      </w:tr>
    </w:tbl>
    <w:p w14:paraId="165FF2EB"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A173E1">
        <w:rPr>
          <w:rFonts w:ascii="Times New Roman" w:hAnsi="Times New Roman" w:cs="Times New Roman"/>
          <w:sz w:val="24"/>
          <w:szCs w:val="24"/>
        </w:rPr>
        <w:t>ів</w:t>
      </w:r>
      <w:proofErr w:type="spellEnd"/>
      <w:r w:rsidRPr="00A173E1">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9F6E866" w14:textId="77777777" w:rsidR="00A173E1" w:rsidRPr="00A173E1" w:rsidRDefault="00A173E1" w:rsidP="00A173E1">
      <w:pPr>
        <w:spacing w:after="0" w:line="240" w:lineRule="auto"/>
        <w:ind w:firstLine="567"/>
        <w:jc w:val="both"/>
        <w:rPr>
          <w:rFonts w:ascii="Times New Roman" w:hAnsi="Times New Roman" w:cs="Times New Roman"/>
          <w:sz w:val="24"/>
          <w:szCs w:val="24"/>
        </w:rPr>
      </w:pPr>
      <w:r w:rsidRPr="00A173E1">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03E98C1" w14:textId="77777777" w:rsidR="00A173E1" w:rsidRPr="00A173E1" w:rsidRDefault="00A173E1" w:rsidP="00A173E1">
      <w:pPr>
        <w:spacing w:after="0" w:line="240" w:lineRule="auto"/>
        <w:ind w:firstLine="567"/>
        <w:jc w:val="both"/>
        <w:rPr>
          <w:rFonts w:ascii="Times New Roman" w:hAnsi="Times New Roman" w:cs="Times New Roman"/>
          <w:bCs/>
          <w:iCs/>
          <w:sz w:val="24"/>
          <w:szCs w:val="24"/>
        </w:rPr>
      </w:pPr>
      <w:r w:rsidRPr="00A173E1">
        <w:rPr>
          <w:rFonts w:ascii="Times New Roman" w:hAnsi="Times New Roman" w:cs="Times New Roman"/>
          <w:bCs/>
          <w:iCs/>
          <w:sz w:val="24"/>
          <w:szCs w:val="24"/>
        </w:rPr>
        <w:t>Товар повинен відповідати вимогам:</w:t>
      </w:r>
    </w:p>
    <w:p w14:paraId="4C76D5CA" w14:textId="77777777" w:rsidR="00A173E1" w:rsidRPr="00A173E1" w:rsidRDefault="00A173E1" w:rsidP="00A173E1">
      <w:pPr>
        <w:spacing w:after="0" w:line="240" w:lineRule="auto"/>
        <w:ind w:firstLine="567"/>
        <w:jc w:val="both"/>
        <w:rPr>
          <w:rFonts w:ascii="Times New Roman" w:hAnsi="Times New Roman" w:cs="Times New Roman"/>
          <w:bCs/>
          <w:iCs/>
          <w:sz w:val="24"/>
          <w:szCs w:val="24"/>
        </w:rPr>
      </w:pPr>
      <w:r w:rsidRPr="00A173E1">
        <w:rPr>
          <w:rFonts w:ascii="Times New Roman" w:hAnsi="Times New Roman" w:cs="Times New Roman"/>
          <w:bCs/>
          <w:iCs/>
          <w:sz w:val="24"/>
          <w:szCs w:val="24"/>
        </w:rPr>
        <w:t>- Закону України від 14.08.2014р. № 1644-VІІ «Про санкції»,</w:t>
      </w:r>
    </w:p>
    <w:p w14:paraId="05F490A3" w14:textId="77777777" w:rsidR="00A173E1" w:rsidRPr="00A173E1" w:rsidRDefault="00A173E1" w:rsidP="00A173E1">
      <w:pPr>
        <w:spacing w:after="0" w:line="240" w:lineRule="auto"/>
        <w:ind w:firstLine="567"/>
        <w:jc w:val="both"/>
        <w:rPr>
          <w:rFonts w:ascii="Times New Roman" w:hAnsi="Times New Roman" w:cs="Times New Roman"/>
          <w:bCs/>
          <w:iCs/>
          <w:sz w:val="24"/>
          <w:szCs w:val="24"/>
        </w:rPr>
      </w:pPr>
      <w:r w:rsidRPr="00A173E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25D600F" w14:textId="77777777" w:rsidR="00A173E1" w:rsidRPr="00A173E1" w:rsidRDefault="00A173E1" w:rsidP="00A173E1">
      <w:pPr>
        <w:spacing w:after="0" w:line="240" w:lineRule="auto"/>
        <w:ind w:firstLine="567"/>
        <w:jc w:val="both"/>
        <w:rPr>
          <w:rFonts w:ascii="Times New Roman" w:hAnsi="Times New Roman" w:cs="Times New Roman"/>
          <w:bCs/>
          <w:iCs/>
          <w:sz w:val="24"/>
          <w:szCs w:val="24"/>
        </w:rPr>
      </w:pPr>
      <w:r w:rsidRPr="00A173E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A173E1">
        <w:rPr>
          <w:rFonts w:ascii="Times New Roman" w:hAnsi="Times New Roman" w:cs="Times New Roman"/>
          <w:bCs/>
          <w:iCs/>
          <w:sz w:val="24"/>
          <w:szCs w:val="24"/>
        </w:rPr>
        <w:t>закупівель</w:t>
      </w:r>
      <w:proofErr w:type="spellEnd"/>
      <w:r w:rsidRPr="00A173E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33AE4AF" w14:textId="77777777" w:rsidR="00A173E1" w:rsidRPr="00A173E1" w:rsidRDefault="00A173E1" w:rsidP="00A173E1">
      <w:pPr>
        <w:spacing w:after="0" w:line="240" w:lineRule="auto"/>
        <w:ind w:firstLine="567"/>
        <w:rPr>
          <w:rFonts w:ascii="Times New Roman" w:hAnsi="Times New Roman" w:cs="Times New Roman"/>
          <w:sz w:val="24"/>
          <w:szCs w:val="24"/>
        </w:rPr>
      </w:pPr>
      <w:r w:rsidRPr="00A173E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63A00C1" w14:textId="77777777" w:rsidR="00A173E1" w:rsidRDefault="00A173E1" w:rsidP="00020576">
      <w:pPr>
        <w:widowControl w:val="0"/>
        <w:spacing w:after="0" w:line="240" w:lineRule="auto"/>
        <w:ind w:right="-1"/>
        <w:jc w:val="both"/>
        <w:rPr>
          <w:rFonts w:ascii="Times New Roman" w:eastAsia="Times New Roman" w:hAnsi="Times New Roman" w:cs="Times New Roman"/>
          <w:b/>
          <w:sz w:val="24"/>
          <w:szCs w:val="24"/>
          <w:lang w:eastAsia="ru-RU"/>
        </w:rPr>
      </w:pPr>
    </w:p>
    <w:p w14:paraId="08682337" w14:textId="77777777" w:rsidR="00A173E1" w:rsidRDefault="00A173E1" w:rsidP="00020576">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3BDC2AF1"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A416204"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173E1">
        <w:rPr>
          <w:rFonts w:ascii="Times New Roman" w:eastAsia="Times New Roman" w:hAnsi="Times New Roman" w:cs="Times New Roman"/>
          <w:sz w:val="24"/>
          <w:szCs w:val="24"/>
          <w:lang w:eastAsia="ru-RU"/>
        </w:rPr>
        <w:t>4 271 794,78</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173E1">
        <w:rPr>
          <w:rFonts w:ascii="Times New Roman" w:eastAsia="Times New Roman" w:hAnsi="Times New Roman" w:cs="Times New Roman"/>
          <w:sz w:val="24"/>
          <w:szCs w:val="24"/>
          <w:lang w:eastAsia="ru-RU"/>
        </w:rPr>
        <w:t>чотири мільйони двісті сімдесят одна тисяча сімсот дев’яносто чотири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A173E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A173E1">
        <w:rPr>
          <w:rFonts w:ascii="Times New Roman" w:eastAsia="Times New Roman" w:hAnsi="Times New Roman" w:cs="Times New Roman"/>
          <w:sz w:val="24"/>
          <w:szCs w:val="24"/>
          <w:lang w:eastAsia="ru-RU"/>
        </w:rPr>
        <w:t>78</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0E91"/>
    <w:multiLevelType w:val="multilevel"/>
    <w:tmpl w:val="12324536"/>
    <w:lvl w:ilvl="0">
      <w:start w:val="1"/>
      <w:numFmt w:val="bullet"/>
      <w:lvlText w:val="●"/>
      <w:lvlJc w:val="left"/>
      <w:pPr>
        <w:ind w:left="720" w:hanging="360"/>
      </w:pPr>
      <w:rPr>
        <w:rFonts w:ascii="Roboto" w:eastAsia="Roboto" w:hAnsi="Roboto" w:cs="Roboto"/>
        <w:color w:val="001D30"/>
        <w:sz w:val="21"/>
        <w:szCs w:val="21"/>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186635C4"/>
    <w:multiLevelType w:val="multilevel"/>
    <w:tmpl w:val="AD5C3D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2D4208C8"/>
    <w:multiLevelType w:val="multilevel"/>
    <w:tmpl w:val="10B0AAD4"/>
    <w:lvl w:ilvl="0">
      <w:start w:val="1"/>
      <w:numFmt w:val="bullet"/>
      <w:lvlText w:val="●"/>
      <w:lvlJc w:val="left"/>
      <w:pPr>
        <w:ind w:left="720" w:hanging="360"/>
      </w:pPr>
      <w:rPr>
        <w:rFonts w:ascii="Roboto" w:eastAsia="Roboto" w:hAnsi="Roboto" w:cs="Roboto"/>
        <w:color w:val="001D30"/>
        <w:sz w:val="21"/>
        <w:szCs w:val="21"/>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45075671"/>
    <w:multiLevelType w:val="multilevel"/>
    <w:tmpl w:val="C7DA886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547F5333"/>
    <w:multiLevelType w:val="multilevel"/>
    <w:tmpl w:val="1848F272"/>
    <w:lvl w:ilvl="0">
      <w:start w:val="1"/>
      <w:numFmt w:val="bullet"/>
      <w:lvlText w:val="●"/>
      <w:lvlJc w:val="left"/>
      <w:pPr>
        <w:ind w:left="720" w:hanging="360"/>
      </w:pPr>
      <w:rPr>
        <w:rFonts w:ascii="Roboto" w:eastAsia="Roboto" w:hAnsi="Roboto" w:cs="Roboto"/>
        <w:color w:val="001D30"/>
        <w:sz w:val="21"/>
        <w:szCs w:val="21"/>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59F963C3"/>
    <w:multiLevelType w:val="multilevel"/>
    <w:tmpl w:val="19DC6264"/>
    <w:lvl w:ilvl="0">
      <w:start w:val="1"/>
      <w:numFmt w:val="bullet"/>
      <w:lvlText w:val="●"/>
      <w:lvlJc w:val="left"/>
      <w:pPr>
        <w:ind w:left="720" w:hanging="360"/>
      </w:pPr>
      <w:rPr>
        <w:rFonts w:ascii="Roboto" w:eastAsia="Roboto" w:hAnsi="Roboto" w:cs="Roboto"/>
        <w:color w:val="001D30"/>
        <w:sz w:val="21"/>
        <w:szCs w:val="21"/>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6CC63CF0"/>
    <w:multiLevelType w:val="multilevel"/>
    <w:tmpl w:val="204C885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408846">
    <w:abstractNumId w:val="1"/>
  </w:num>
  <w:num w:numId="2" w16cid:durableId="1281258902">
    <w:abstractNumId w:val="4"/>
  </w:num>
  <w:num w:numId="3" w16cid:durableId="462382284">
    <w:abstractNumId w:val="0"/>
  </w:num>
  <w:num w:numId="4" w16cid:durableId="952515473">
    <w:abstractNumId w:val="2"/>
  </w:num>
  <w:num w:numId="5" w16cid:durableId="1587038958">
    <w:abstractNumId w:val="6"/>
  </w:num>
  <w:num w:numId="6" w16cid:durableId="1989238206">
    <w:abstractNumId w:val="5"/>
  </w:num>
  <w:num w:numId="7" w16cid:durableId="143709890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173E1"/>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D617B"/>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normal1">
    <w:name w:val="normal1"/>
    <w:qFormat/>
    <w:rsid w:val="00A173E1"/>
    <w:rPr>
      <w:rFonts w:ascii="Calibri" w:eastAsia="Calibri" w:hAnsi="Calibri" w:cs="Calibri"/>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10545</Words>
  <Characters>6012</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2024-11-15T13:17:00Z</dcterms:modified>
</cp:coreProperties>
</file>