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9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Закупівля ліцензій </w:t>
      </w:r>
      <w:r>
        <w:rPr>
          <w:b w:val="0"/>
          <w:bCs w:val="0"/>
          <w:color w:val="000000"/>
          <w:sz w:val="24"/>
          <w:szCs w:val="24"/>
          <w:lang w:val="en-US"/>
        </w:rPr>
        <w:t xml:space="preserve">Cisco</w:t>
      </w:r>
      <w:r>
        <w:rPr>
          <w:b w:val="0"/>
          <w:bCs w:val="0"/>
          <w:color w:val="000000"/>
          <w:sz w:val="24"/>
          <w:szCs w:val="24"/>
        </w:rPr>
        <w:t xml:space="preserve"> за кодом ДК 021:2015: 48510000-6 Пакети комунікаційного програмного забезпечення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lang w:val="en-US"/>
        </w:rPr>
        <w:t xml:space="preserve">2</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002248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bCs/>
          <w:color w:val="000000"/>
          <w:sz w:val="24"/>
          <w:szCs w:val="24"/>
        </w:rPr>
        <w:t xml:space="preserve">Закупівля ліцензій </w:t>
      </w:r>
      <w:r>
        <w:rPr>
          <w:rFonts w:ascii="Times New Roman" w:hAnsi="Times New Roman"/>
          <w:bCs/>
          <w:color w:val="000000"/>
          <w:sz w:val="24"/>
          <w:szCs w:val="24"/>
          <w:lang w:val="en-US"/>
        </w:rPr>
        <w:t xml:space="preserve">Cisco</w:t>
      </w:r>
      <w:r>
        <w:rPr>
          <w:rFonts w:ascii="Times New Roman" w:hAnsi="Times New Roman" w:cs="Times New Roman"/>
          <w:sz w:val="24"/>
          <w:szCs w:val="24"/>
        </w:rPr>
        <w:br/>
      </w:r>
      <w:r/>
    </w:p>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2"/>
        <w:gridCol w:w="6946"/>
        <w:gridCol w:w="1134"/>
        <w:gridCol w:w="1423"/>
      </w:tblGrid>
      <w:tr>
        <w:trPr>
          <w:trHeight w:val="334"/>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jc w:val="center"/>
              <w:spacing w:line="256" w:lineRule="auto"/>
              <w:rPr>
                <w:rFonts w:ascii="Times New Roman" w:hAnsi="Times New Roman"/>
                <w:b/>
                <w:bCs/>
                <w:lang w:eastAsia="ru-RU"/>
              </w:rPr>
            </w:pPr>
            <w:r>
              <w:rPr>
                <w:rFonts w:ascii="Times New Roman" w:hAnsi="Times New Roman"/>
                <w:b/>
                <w:bCs/>
              </w:rPr>
              <w:t xml:space="preserve">№ з/п</w:t>
            </w:r>
            <w:r/>
          </w:p>
        </w:tc>
        <w:tc>
          <w:tcPr>
            <w:tcBorders>
              <w:top w:val="single" w:color="auto" w:sz="4" w:space="0"/>
              <w:left w:val="single" w:color="auto" w:sz="4" w:space="0"/>
              <w:bottom w:val="single" w:color="auto" w:sz="4" w:space="0"/>
              <w:right w:val="single" w:color="auto" w:sz="4" w:space="0"/>
            </w:tcBorders>
            <w:tcW w:w="6946" w:type="dxa"/>
            <w:vAlign w:val="center"/>
            <w:textDirection w:val="lrTb"/>
            <w:noWrap w:val="false"/>
          </w:tcPr>
          <w:p>
            <w:pPr>
              <w:jc w:val="center"/>
              <w:spacing w:line="256" w:lineRule="auto"/>
              <w:rPr>
                <w:rFonts w:ascii="Times New Roman" w:hAnsi="Times New Roman"/>
                <w:b/>
                <w:bCs/>
              </w:rPr>
            </w:pPr>
            <w:r>
              <w:rPr>
                <w:rFonts w:ascii="Times New Roman" w:hAnsi="Times New Roman"/>
                <w:b/>
                <w:bCs/>
              </w:rPr>
              <w:t xml:space="preserve">Найменування</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56" w:lineRule="auto"/>
              <w:rPr>
                <w:rFonts w:ascii="Times New Roman" w:hAnsi="Times New Roman"/>
                <w:b/>
                <w:bCs/>
                <w:lang w:eastAsia="uk-UA"/>
              </w:rPr>
            </w:pPr>
            <w:r>
              <w:rPr>
                <w:rFonts w:ascii="Times New Roman" w:hAnsi="Times New Roman"/>
                <w:b/>
                <w:bCs/>
                <w:lang w:eastAsia="uk-UA"/>
              </w:rPr>
              <w:t xml:space="preserve">Од. виміру</w:t>
            </w:r>
            <w:r/>
          </w:p>
        </w:tc>
        <w:tc>
          <w:tcPr>
            <w:tcBorders>
              <w:top w:val="single" w:color="auto" w:sz="4" w:space="0"/>
              <w:left w:val="single" w:color="auto" w:sz="4" w:space="0"/>
              <w:bottom w:val="single" w:color="auto" w:sz="4" w:space="0"/>
              <w:right w:val="single" w:color="auto" w:sz="4" w:space="0"/>
            </w:tcBorders>
            <w:tcW w:w="1423" w:type="dxa"/>
            <w:vAlign w:val="center"/>
            <w:textDirection w:val="lrTb"/>
            <w:noWrap w:val="false"/>
          </w:tcPr>
          <w:p>
            <w:pPr>
              <w:jc w:val="center"/>
              <w:spacing w:line="256" w:lineRule="auto"/>
              <w:rPr>
                <w:rFonts w:ascii="Times New Roman" w:hAnsi="Times New Roman"/>
                <w:b/>
                <w:bCs/>
                <w:lang w:eastAsia="uk-UA"/>
              </w:rPr>
            </w:pPr>
            <w:r>
              <w:rPr>
                <w:rFonts w:ascii="Times New Roman" w:hAnsi="Times New Roman"/>
                <w:b/>
                <w:bCs/>
                <w:lang w:eastAsia="uk-UA"/>
              </w:rPr>
              <w:t xml:space="preserve">К-ть</w:t>
            </w:r>
            <w:r/>
          </w:p>
          <w:p>
            <w:pPr>
              <w:jc w:val="center"/>
              <w:spacing w:line="256" w:lineRule="auto"/>
              <w:rPr>
                <w:rFonts w:ascii="Times New Roman" w:hAnsi="Times New Roman"/>
                <w:b/>
                <w:bCs/>
                <w:lang w:eastAsia="uk-UA"/>
              </w:rPr>
            </w:pPr>
            <w:r>
              <w:rPr>
                <w:rFonts w:ascii="Times New Roman" w:hAnsi="Times New Roman"/>
                <w:b/>
                <w:bCs/>
                <w:lang w:eastAsia="uk-UA"/>
              </w:rPr>
              <w:t xml:space="preserve">одиниць </w:t>
            </w:r>
            <w:r/>
          </w:p>
        </w:tc>
      </w:tr>
      <w:tr>
        <w:trPr>
          <w:trHeight w:val="551"/>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jc w:val="center"/>
              <w:spacing w:line="256" w:lineRule="auto"/>
              <w:rPr>
                <w:rFonts w:ascii="Times New Roman" w:hAnsi="Times New Roman"/>
                <w:b/>
                <w:lang w:eastAsia="uk-UA"/>
              </w:rPr>
            </w:pPr>
            <w:r>
              <w:rPr>
                <w:rFonts w:ascii="Times New Roman" w:hAnsi="Times New Roman"/>
                <w:b/>
                <w:lang w:eastAsia="uk-UA"/>
              </w:rPr>
              <w:t xml:space="preserve">1</w:t>
            </w:r>
            <w:r/>
          </w:p>
        </w:tc>
        <w:tc>
          <w:tcPr>
            <w:tcBorders>
              <w:top w:val="single" w:color="auto" w:sz="4" w:space="0"/>
              <w:left w:val="single" w:color="auto" w:sz="4" w:space="0"/>
              <w:bottom w:val="single" w:color="auto" w:sz="4" w:space="0"/>
              <w:right w:val="single" w:color="auto" w:sz="4" w:space="0"/>
            </w:tcBorders>
            <w:tcW w:w="6946" w:type="dxa"/>
            <w:vAlign w:val="center"/>
            <w:textDirection w:val="lrTb"/>
            <w:noWrap w:val="false"/>
          </w:tcPr>
          <w:p>
            <w:pPr>
              <w:jc w:val="both"/>
              <w:spacing w:line="256"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Голосовий шлюз (Маршрутизатор)</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56" w:lineRule="auto"/>
              <w:rPr>
                <w:rFonts w:ascii="Times New Roman" w:hAnsi="Times New Roman"/>
                <w:b/>
                <w:lang w:eastAsia="uk-UA"/>
              </w:rPr>
            </w:pPr>
            <w:r>
              <w:rPr>
                <w:rFonts w:ascii="Times New Roman" w:hAnsi="Times New Roman"/>
                <w:b/>
              </w:rPr>
              <w:t xml:space="preserve">шт</w:t>
            </w:r>
            <w:r/>
          </w:p>
        </w:tc>
        <w:tc>
          <w:tcPr>
            <w:tcBorders>
              <w:top w:val="single" w:color="auto" w:sz="4" w:space="0"/>
              <w:left w:val="single" w:color="auto" w:sz="4" w:space="0"/>
              <w:bottom w:val="single" w:color="auto" w:sz="4" w:space="0"/>
              <w:right w:val="single" w:color="auto" w:sz="4" w:space="0"/>
            </w:tcBorders>
            <w:tcW w:w="1423" w:type="dxa"/>
            <w:vAlign w:val="center"/>
            <w:textDirection w:val="lrTb"/>
            <w:noWrap w:val="false"/>
          </w:tcPr>
          <w:p>
            <w:pPr>
              <w:jc w:val="center"/>
              <w:spacing w:line="264"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4</w:t>
            </w:r>
            <w:r/>
          </w:p>
        </w:tc>
      </w:tr>
      <w:tr>
        <w:trPr>
          <w:trHeight w:val="899"/>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jc w:val="center"/>
              <w:spacing w:line="256" w:lineRule="auto"/>
              <w:rPr>
                <w:rFonts w:ascii="Times New Roman" w:hAnsi="Times New Roman"/>
                <w:b/>
                <w:lang w:eastAsia="uk-UA"/>
              </w:rPr>
            </w:pPr>
            <w:r>
              <w:rPr>
                <w:rFonts w:ascii="Times New Roman" w:hAnsi="Times New Roman"/>
                <w:b/>
                <w:lang w:eastAsia="uk-UA"/>
              </w:rPr>
              <w:t xml:space="preserve">2</w:t>
            </w:r>
            <w:r/>
          </w:p>
        </w:tc>
        <w:tc>
          <w:tcPr>
            <w:tcBorders>
              <w:top w:val="single" w:color="auto" w:sz="4" w:space="0"/>
              <w:left w:val="single" w:color="auto" w:sz="4" w:space="0"/>
              <w:bottom w:val="single" w:color="auto" w:sz="4" w:space="0"/>
              <w:right w:val="single" w:color="auto" w:sz="4" w:space="0"/>
            </w:tcBorders>
            <w:tcW w:w="6946" w:type="dxa"/>
            <w:vAlign w:val="center"/>
            <w:textDirection w:val="lrTb"/>
            <w:noWrap w:val="false"/>
          </w:tcPr>
          <w:p>
            <w:pPr>
              <w:jc w:val="both"/>
              <w:spacing w:line="256"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Ліцензія для забезпечення безпеки</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56" w:lineRule="auto"/>
              <w:rPr>
                <w:rFonts w:ascii="Times New Roman" w:hAnsi="Times New Roman"/>
                <w:b/>
                <w:lang w:eastAsia="uk-UA"/>
              </w:rPr>
            </w:pPr>
            <w:r>
              <w:rPr>
                <w:rFonts w:ascii="Times New Roman" w:hAnsi="Times New Roman"/>
                <w:b/>
              </w:rPr>
              <w:t xml:space="preserve">шт</w:t>
            </w:r>
            <w:r/>
          </w:p>
        </w:tc>
        <w:tc>
          <w:tcPr>
            <w:tcBorders>
              <w:top w:val="single" w:color="auto" w:sz="4" w:space="0"/>
              <w:left w:val="single" w:color="auto" w:sz="4" w:space="0"/>
              <w:bottom w:val="single" w:color="auto" w:sz="4" w:space="0"/>
              <w:right w:val="single" w:color="auto" w:sz="4" w:space="0"/>
            </w:tcBorders>
            <w:tcW w:w="1423" w:type="dxa"/>
            <w:vAlign w:val="center"/>
            <w:textDirection w:val="lrTb"/>
            <w:noWrap w:val="false"/>
          </w:tcPr>
          <w:p>
            <w:pPr>
              <w:jc w:val="center"/>
              <w:spacing w:line="264"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2</w:t>
            </w:r>
            <w:r/>
          </w:p>
        </w:tc>
      </w:tr>
      <w:tr>
        <w:trPr>
          <w:trHeight w:val="229"/>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jc w:val="center"/>
              <w:spacing w:line="256" w:lineRule="auto"/>
              <w:rPr>
                <w:rFonts w:ascii="Times New Roman" w:hAnsi="Times New Roman"/>
                <w:b/>
                <w:lang w:eastAsia="uk-UA"/>
              </w:rPr>
            </w:pPr>
            <w:r>
              <w:rPr>
                <w:rFonts w:ascii="Times New Roman" w:hAnsi="Times New Roman"/>
                <w:b/>
                <w:lang w:eastAsia="uk-UA"/>
              </w:rPr>
              <w:t xml:space="preserve">3</w:t>
            </w:r>
            <w:r/>
          </w:p>
        </w:tc>
        <w:tc>
          <w:tcPr>
            <w:tcBorders>
              <w:top w:val="single" w:color="auto" w:sz="4" w:space="0"/>
              <w:left w:val="single" w:color="auto" w:sz="4" w:space="0"/>
              <w:bottom w:val="single" w:color="auto" w:sz="4" w:space="0"/>
              <w:right w:val="single" w:color="auto" w:sz="4" w:space="0"/>
            </w:tcBorders>
            <w:tcW w:w="6946" w:type="dxa"/>
            <w:textDirection w:val="lrTb"/>
            <w:noWrap w:val="false"/>
          </w:tcPr>
          <w:p>
            <w:pPr>
              <w:jc w:val="both"/>
              <w:spacing w:line="256"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Комплект ліцензій для системи відеоконференцзв’язку (5шт)</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56" w:lineRule="auto"/>
              <w:rPr>
                <w:rFonts w:ascii="Times New Roman" w:hAnsi="Times New Roman"/>
                <w:b/>
                <w:lang w:eastAsia="uk-UA"/>
              </w:rPr>
            </w:pPr>
            <w:r>
              <w:rPr>
                <w:rFonts w:ascii="Times New Roman" w:hAnsi="Times New Roman"/>
                <w:b/>
              </w:rPr>
              <w:t xml:space="preserve">комп.</w:t>
            </w:r>
            <w:r/>
          </w:p>
        </w:tc>
        <w:tc>
          <w:tcPr>
            <w:tcBorders>
              <w:top w:val="single" w:color="auto" w:sz="4" w:space="0"/>
              <w:left w:val="single" w:color="auto" w:sz="4" w:space="0"/>
              <w:bottom w:val="single" w:color="auto" w:sz="4" w:space="0"/>
              <w:right w:val="single" w:color="auto" w:sz="4" w:space="0"/>
            </w:tcBorders>
            <w:tcW w:w="1423" w:type="dxa"/>
            <w:vAlign w:val="center"/>
            <w:textDirection w:val="lrTb"/>
            <w:noWrap w:val="false"/>
          </w:tcPr>
          <w:p>
            <w:pPr>
              <w:jc w:val="center"/>
              <w:spacing w:line="264" w:lineRule="auto"/>
              <w:tabs>
                <w:tab w:val="left" w:pos="567" w:leader="none"/>
                <w:tab w:val="left" w:pos="851" w:leader="none"/>
                <w:tab w:val="left" w:pos="993" w:leader="none"/>
                <w:tab w:val="left" w:pos="1134" w:leader="none"/>
              </w:tabs>
              <w:rPr>
                <w:rFonts w:ascii="Times New Roman" w:hAnsi="Times New Roman"/>
                <w:b/>
                <w:lang w:eastAsia="ru-RU"/>
              </w:rPr>
            </w:pPr>
            <w:r>
              <w:rPr>
                <w:rFonts w:ascii="Times New Roman" w:hAnsi="Times New Roman"/>
                <w:b/>
              </w:rPr>
              <w:t xml:space="preserve">1</w:t>
            </w:r>
            <w:r/>
          </w:p>
        </w:tc>
      </w:tr>
    </w:tbl>
    <w:p>
      <w:pPr>
        <w:jc w:val="center"/>
        <w:rPr>
          <w:rFonts w:ascii="Times New Roman" w:hAnsi="Times New Roman" w:eastAsia="Times New Roman"/>
          <w:b/>
          <w:highlight w:val="yellow"/>
          <w:lang w:eastAsia="uk-UA"/>
        </w:rPr>
      </w:pPr>
      <w:r>
        <w:rPr>
          <w:rFonts w:ascii="Times New Roman" w:hAnsi="Times New Roman" w:eastAsia="Times New Roman"/>
          <w:b/>
          <w:highlight w:val="yellow"/>
          <w:lang w:eastAsia="uk-UA"/>
        </w:rPr>
      </w:r>
      <w:r/>
    </w:p>
    <w:p>
      <w:pPr>
        <w:jc w:val="center"/>
        <w:rPr>
          <w:rFonts w:ascii="Times New Roman" w:hAnsi="Times New Roman"/>
          <w:b/>
          <w:lang w:eastAsia="uk-UA"/>
        </w:rPr>
      </w:pPr>
      <w:r>
        <w:rPr>
          <w:rFonts w:ascii="Times New Roman" w:hAnsi="Times New Roman"/>
          <w:b/>
          <w:lang w:eastAsia="uk-UA"/>
        </w:rPr>
        <w:t xml:space="preserve">СПЕЦИФІКАЦІЯ:</w:t>
      </w:r>
      <w:r/>
    </w:p>
    <w:tbl>
      <w:tblPr>
        <w:tblW w:w="101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top w:w="57" w:type="dxa"/>
          <w:right w:w="57" w:type="dxa"/>
          <w:bottom w:w="57" w:type="dxa"/>
        </w:tblCellMar>
        <w:tblLook w:val="04A0" w:firstRow="1" w:lastRow="0" w:firstColumn="1" w:lastColumn="0" w:noHBand="0" w:noVBand="1"/>
      </w:tblPr>
      <w:tblGrid>
        <w:gridCol w:w="877"/>
        <w:gridCol w:w="7723"/>
        <w:gridCol w:w="1598"/>
      </w:tblGrid>
      <w:tr>
        <w:trPr>
          <w:tblHeader/>
        </w:trPr>
        <w:tc>
          <w:tcPr>
            <w:shd w:val="clear" w:color="auto" w:fill="d9d9d9"/>
            <w:tcBorders>
              <w:top w:val="single" w:color="auto" w:sz="4" w:space="0"/>
              <w:left w:val="single" w:color="auto" w:sz="4" w:space="0"/>
              <w:bottom w:val="single" w:color="auto" w:sz="4" w:space="0"/>
              <w:right w:val="single" w:color="auto" w:sz="4" w:space="0"/>
            </w:tcBorders>
            <w:tcW w:w="877" w:type="dxa"/>
            <w:vAlign w:val="center"/>
            <w:textDirection w:val="lrTb"/>
            <w:noWrap w:val="false"/>
          </w:tcPr>
          <w:p>
            <w:pPr>
              <w:ind w:left="57"/>
              <w:jc w:val="center"/>
              <w:spacing w:line="256" w:lineRule="auto"/>
              <w:rPr>
                <w:rFonts w:ascii="Times New Roman" w:hAnsi="Times New Roman"/>
                <w:b/>
                <w:lang w:eastAsia="ru-RU"/>
              </w:rPr>
            </w:pPr>
            <w:r>
              <w:rPr>
                <w:rFonts w:ascii="Times New Roman" w:hAnsi="Times New Roman"/>
                <w:b/>
              </w:rPr>
              <w:t xml:space="preserve">№ з/п</w:t>
            </w:r>
            <w:r/>
          </w:p>
        </w:tc>
        <w:tc>
          <w:tcPr>
            <w:shd w:val="clear" w:color="auto" w:fill="d9d9d9"/>
            <w:tcBorders>
              <w:top w:val="single" w:color="auto" w:sz="4" w:space="0"/>
              <w:left w:val="single" w:color="auto" w:sz="4" w:space="0"/>
              <w:bottom w:val="single" w:color="auto" w:sz="4" w:space="0"/>
              <w:right w:val="single" w:color="auto" w:sz="4" w:space="0"/>
            </w:tcBorders>
            <w:tcW w:w="7723"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t xml:space="preserve">Технічні вимоги до предмета закупівлі</w:t>
            </w:r>
            <w:r/>
          </w:p>
        </w:tc>
        <w:tc>
          <w:tcPr>
            <w:shd w:val="clear" w:color="auto" w:fill="d9d9d9"/>
            <w:tcBorders>
              <w:top w:val="single" w:color="auto" w:sz="4" w:space="0"/>
              <w:left w:val="single" w:color="auto" w:sz="4" w:space="0"/>
              <w:bottom w:val="single" w:color="auto" w:sz="4" w:space="0"/>
              <w:right w:val="single" w:color="auto" w:sz="4" w:space="0"/>
            </w:tcBorders>
            <w:tcW w:w="1598"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r>
            <w:r/>
          </w:p>
        </w:tc>
      </w:tr>
      <w:tr>
        <w:trPr>
          <w:tblHeader/>
        </w:trPr>
        <w:tc>
          <w:tcPr>
            <w:gridSpan w:val="3"/>
            <w:shd w:val="clear" w:color="auto" w:fill="d9d9d9"/>
            <w:tcBorders>
              <w:top w:val="single" w:color="auto" w:sz="4" w:space="0"/>
              <w:left w:val="single" w:color="auto" w:sz="4" w:space="0"/>
              <w:bottom w:val="single" w:color="auto" w:sz="4" w:space="0"/>
              <w:right w:val="single" w:color="auto" w:sz="4" w:space="0"/>
            </w:tcBorders>
            <w:tcW w:w="10198" w:type="dxa"/>
            <w:textDirection w:val="lrTb"/>
            <w:noWrap w:val="false"/>
          </w:tcPr>
          <w:p>
            <w:pPr>
              <w:pStyle w:val="702"/>
              <w:numPr>
                <w:ilvl w:val="0"/>
                <w:numId w:val="23"/>
              </w:numPr>
              <w:contextualSpacing w:val="0"/>
              <w:spacing w:after="0" w:line="256" w:lineRule="auto"/>
              <w:rPr>
                <w:rFonts w:ascii="Times New Roman" w:hAnsi="Times New Roman"/>
                <w:b/>
                <w:sz w:val="24"/>
                <w:szCs w:val="24"/>
                <w:lang w:val="uk-UA"/>
              </w:rPr>
            </w:pPr>
            <w:r>
              <w:rPr>
                <w:rFonts w:ascii="Times New Roman" w:hAnsi="Times New Roman"/>
                <w:b/>
                <w:sz w:val="24"/>
                <w:szCs w:val="24"/>
                <w:lang w:val="uk-UA"/>
              </w:rPr>
              <w:t xml:space="preserve">Голосовий шлюз (Маршрутизатор) – 4 шт.</w:t>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sz w:val="24"/>
                <w:szCs w:val="24"/>
              </w:rPr>
            </w:pPr>
            <w:r>
              <w:rPr>
                <w:rFonts w:ascii="Times New Roman" w:hAnsi="Times New Roman"/>
              </w:rPr>
              <w:t xml:space="preserve">.</w:t>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Архітектура:</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Тип пристрою: віртуальний пристрій з можливістю розгортання на платформах віртуалізації VmWare ESXi або Red Hat KVM;</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t xml:space="preserve">.</w:t>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Пропускна здатність:</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Агрегована сумарна пропускна здатність - не менше ніж 400 Мбіт/с;</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t xml:space="preserve">.</w:t>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Ліцензування та масштабування:</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Наявність ліцензій для забезпечення пропускної здатності та зазначеного функціоналу строком не менше ніж 36 місяців;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додавання функціоналу за рахунок ліцензійного розширення, що не потребує заміни платформи;</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розширення продуктивності обробки трафіку за рахунок встановлення ліцензії, що не потребує заміни платформ;</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Підтримка протоколів та технологій:</w:t>
            </w:r>
            <w:r/>
          </w:p>
          <w:p>
            <w:pPr>
              <w:pStyle w:val="702"/>
              <w:numPr>
                <w:ilvl w:val="0"/>
                <w:numId w:val="25"/>
              </w:numPr>
              <w:ind w:right="403"/>
              <w:jc w:val="both"/>
              <w:spacing w:after="0" w:line="256" w:lineRule="auto"/>
              <w:widowControl w:val="off"/>
              <w:rPr>
                <w:rFonts w:ascii="Times New Roman" w:hAnsi="Times New Roman"/>
                <w:lang w:val="uk-UA"/>
              </w:rPr>
            </w:pPr>
            <w:r>
              <w:rPr>
                <w:rFonts w:ascii="Times New Roman" w:hAnsi="Times New Roman"/>
                <w:sz w:val="24"/>
                <w:szCs w:val="24"/>
                <w:lang w:val="uk-UA"/>
              </w:rPr>
              <w:t xml:space="preserve">IPv4, IPv6, static routes, Open Shortest Path First (OSPF), Border Gateway Protocol (BGP), BGP Route Re</w:t>
            </w:r>
            <w:r>
              <w:rPr>
                <w:rFonts w:ascii="Times New Roman" w:hAnsi="Times New Roman"/>
                <w:sz w:val="24"/>
                <w:szCs w:val="24"/>
                <w:lang w:val="uk-UA"/>
              </w:rPr>
              <w:t xml:space="preserve">flector, Intermediate System-to-Intermediate System (IS-IS), Multicast Internet Group Management Protocol Version 3 (IGMPv3), Protocol Independent Multicast Sparse Mode (PIM SM), PIM Source-Specific Multicast (SSM), Resource Reservation Protocol (RSVP), In</w:t>
            </w:r>
            <w:r>
              <w:rPr>
                <w:rFonts w:ascii="Times New Roman" w:hAnsi="Times New Roman"/>
                <w:sz w:val="24"/>
                <w:szCs w:val="24"/>
                <w:lang w:val="uk-UA"/>
              </w:rPr>
              <w:t xml:space="preserve">ternet Key Exchange (IKE), ACLs, Ethernet Virtual Connections (EVC), Locator ID Separation Protocol (LISP), Hot Standby Router Protocol (HSRP), RADIUS, Authentication, Authorization, and Accounting (AAA), Application Visibility and Control (AVC), Distance </w:t>
            </w:r>
            <w:r>
              <w:rPr>
                <w:rFonts w:ascii="Times New Roman" w:hAnsi="Times New Roman"/>
                <w:sz w:val="24"/>
                <w:szCs w:val="24"/>
                <w:lang w:val="uk-UA"/>
              </w:rPr>
              <w:t xml:space="preserve">Vector Multicast Routing Protocol (DVMRP), IPv4-to-IPv6 Multicast, Multiprotocol Label Switching (MPLS), Layer 2 and Layer 3 VPN, IPsec, Layer 2 Tunneling Protocol Version 3 (L2TPv3), Bidirectional Forwarding Detection (BFD), IEEE 802.1ag, and IEEE 802.3ah</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rPr>
            </w:pPr>
            <w:r>
              <w:rPr>
                <w:rFonts w:ascii="Times New Roman" w:hAnsi="Times New Roman"/>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Підтримка видів інкапсуляції:</w:t>
            </w:r>
            <w:r/>
          </w:p>
          <w:p>
            <w:pPr>
              <w:pStyle w:val="702"/>
              <w:numPr>
                <w:ilvl w:val="0"/>
                <w:numId w:val="25"/>
              </w:numPr>
              <w:ind w:right="403"/>
              <w:jc w:val="both"/>
              <w:spacing w:after="0" w:line="256" w:lineRule="auto"/>
              <w:widowControl w:val="off"/>
              <w:rPr>
                <w:rFonts w:ascii="Times New Roman" w:hAnsi="Times New Roman"/>
                <w:b/>
                <w:sz w:val="20"/>
                <w:szCs w:val="20"/>
                <w:lang w:val="uk-UA"/>
              </w:rPr>
            </w:pPr>
            <w:r>
              <w:rPr>
                <w:rFonts w:ascii="Times New Roman" w:hAnsi="Times New Roman"/>
                <w:sz w:val="24"/>
                <w:szCs w:val="24"/>
                <w:lang w:val="uk-UA"/>
              </w:rPr>
              <w:t xml:space="preserve">Generic Routing Encapsulation (GRE), Ethernet, 802.1q VLAN, Point-to-Point Protocol (PPP)</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Підтримка методів керуванням трафіком:</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QoS, Class-Based Weighted Fair Queuing (CBWFQ), Weighted Random Early Detection (WRED), Hierarchical QoS, Policy-Based Routing (PBR), Performance Routing (PfR), and NBAR</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Підтримка криптографічних алгоритмів:</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Encryption: Data Encryption Standard (DES), 3DES, Advanced Encryption Standard (AES)-128 or AES-256 (in Cipher Block Chaining [CBC] and Galois/Counter Mode [GCM])</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Authentication: RSA (748/1024/2048 bit), ECDSA (256/384 bit)</w:t>
            </w:r>
            <w:r/>
          </w:p>
          <w:p>
            <w:pPr>
              <w:pStyle w:val="702"/>
              <w:numPr>
                <w:ilvl w:val="0"/>
                <w:numId w:val="25"/>
              </w:numPr>
              <w:ind w:right="403"/>
              <w:jc w:val="both"/>
              <w:spacing w:after="0" w:line="256" w:lineRule="auto"/>
              <w:widowControl w:val="off"/>
              <w:rPr>
                <w:rFonts w:ascii="Times New Roman" w:hAnsi="Times New Roman"/>
                <w:b/>
                <w:sz w:val="20"/>
                <w:szCs w:val="20"/>
                <w:lang w:val="uk-UA"/>
              </w:rPr>
            </w:pPr>
            <w:r>
              <w:rPr>
                <w:rFonts w:ascii="Times New Roman" w:hAnsi="Times New Roman"/>
                <w:sz w:val="24"/>
                <w:szCs w:val="24"/>
                <w:lang w:val="uk-UA"/>
              </w:rPr>
              <w:t xml:space="preserve">Integrity: MD5, SHA, SHA-256, SHA-384, SHA-512</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Можливість підтримки голосових технологій та протоколів (у разі встановлення відповідної ліцензії Замовником):</w:t>
            </w:r>
            <w:r/>
          </w:p>
          <w:p>
            <w:pPr>
              <w:pStyle w:val="702"/>
              <w:numPr>
                <w:ilvl w:val="0"/>
                <w:numId w:val="25"/>
              </w:numPr>
              <w:ind w:right="403"/>
              <w:jc w:val="both"/>
              <w:spacing w:after="0" w:line="256" w:lineRule="auto"/>
              <w:widowControl w:val="off"/>
              <w:rPr>
                <w:rFonts w:ascii="Times New Roman" w:hAnsi="Times New Roman"/>
                <w:b/>
                <w:sz w:val="20"/>
                <w:szCs w:val="20"/>
                <w:lang w:val="uk-UA"/>
              </w:rPr>
            </w:pPr>
            <w:r>
              <w:rPr>
                <w:rFonts w:ascii="Times New Roman" w:hAnsi="Times New Roman"/>
                <w:sz w:val="24"/>
                <w:szCs w:val="24"/>
                <w:lang w:val="uk-UA"/>
              </w:rPr>
              <w:t xml:space="preserve">Call Admission Control (CAC), Resource Reservation Protocol (RSVP), RTP Control Protocol (RTCP), Service Advertisement Framework (SAF), Session Border Controller (SBC), SIP for voice over IP (VoIP), Secure Real-Time Transport Protocol (SRTP), VoIP</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77" w:type="dxa"/>
            <w:textDirection w:val="lrTb"/>
            <w:noWrap w:val="false"/>
          </w:tcPr>
          <w:p>
            <w:pPr>
              <w:numPr>
                <w:ilvl w:val="0"/>
                <w:numId w:val="24"/>
              </w:numPr>
              <w:ind w:left="57" w:hanging="116"/>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723" w:type="dxa"/>
            <w:textDirection w:val="lrTb"/>
            <w:noWrap w:val="false"/>
          </w:tcPr>
          <w:p>
            <w:pPr>
              <w:ind w:right="403"/>
              <w:jc w:val="both"/>
              <w:spacing w:line="256" w:lineRule="auto"/>
              <w:rPr>
                <w:rFonts w:ascii="Times New Roman" w:hAnsi="Times New Roman"/>
              </w:rPr>
            </w:pPr>
            <w:r>
              <w:rPr>
                <w:rFonts w:ascii="Times New Roman" w:hAnsi="Times New Roman"/>
              </w:rPr>
              <w:t xml:space="preserve">Технічна підтримка та гарантії:</w:t>
            </w:r>
            <w:r/>
          </w:p>
          <w:p>
            <w:pPr>
              <w:pStyle w:val="702"/>
              <w:numPr>
                <w:ilvl w:val="0"/>
                <w:numId w:val="25"/>
              </w:numPr>
              <w:ind w:right="403"/>
              <w:jc w:val="both"/>
              <w:spacing w:after="0" w:line="256" w:lineRule="auto"/>
              <w:widowControl w:val="off"/>
              <w:rPr>
                <w:lang w:val="uk-UA"/>
              </w:rPr>
            </w:pPr>
            <w:r>
              <w:rPr>
                <w:rFonts w:ascii="Times New Roman" w:hAnsi="Times New Roman"/>
                <w:sz w:val="24"/>
                <w:szCs w:val="24"/>
                <w:lang w:val="uk-UA"/>
              </w:rPr>
              <w:t xml:space="preserve">Можливість доступу до оновлень програмного забезпечення та </w:t>
            </w:r>
            <w:r>
              <w:rPr>
                <w:rFonts w:ascii="Times New Roman" w:hAnsi="Times New Roman"/>
                <w:sz w:val="24"/>
                <w:szCs w:val="24"/>
                <w:lang w:val="uk-UA"/>
              </w:rPr>
              <w:t xml:space="preserve">інженерної служби технічної підтримки від виробника строком не менше ніж 36 місяців.</w:t>
            </w:r>
            <w:r/>
          </w:p>
        </w:tc>
        <w:tc>
          <w:tcPr>
            <w:tcBorders>
              <w:top w:val="single" w:color="auto" w:sz="4" w:space="0"/>
              <w:left w:val="single" w:color="auto" w:sz="4" w:space="0"/>
              <w:bottom w:val="single" w:color="auto" w:sz="4" w:space="0"/>
              <w:right w:val="single" w:color="auto" w:sz="4" w:space="0"/>
            </w:tcBorders>
            <w:tcW w:w="1598" w:type="dxa"/>
            <w:textDirection w:val="lrTb"/>
            <w:noWrap w:val="false"/>
          </w:tcPr>
          <w:p>
            <w:pPr>
              <w:ind w:left="57"/>
              <w:spacing w:line="256" w:lineRule="auto"/>
              <w:rPr>
                <w:rFonts w:ascii="Times New Roman" w:hAnsi="Times New Roman"/>
              </w:rPr>
            </w:pPr>
            <w:r>
              <w:rPr>
                <w:rFonts w:ascii="Times New Roman" w:hAnsi="Times New Roman"/>
              </w:rPr>
            </w:r>
            <w:r/>
          </w:p>
        </w:tc>
      </w:tr>
    </w:tbl>
    <w:p>
      <w:pPr>
        <w:jc w:val="center"/>
        <w:rPr>
          <w:rFonts w:ascii="Times New Roman" w:hAnsi="Times New Roman" w:eastAsia="Times New Roman"/>
          <w:b/>
          <w:lang w:eastAsia="uk-UA"/>
        </w:rPr>
      </w:pPr>
      <w:r>
        <w:rPr>
          <w:rFonts w:ascii="Times New Roman" w:hAnsi="Times New Roman" w:eastAsia="Times New Roman"/>
          <w:b/>
          <w:lang w:eastAsia="uk-UA"/>
        </w:rPr>
      </w:r>
      <w:r/>
    </w:p>
    <w:tbl>
      <w:tblPr>
        <w:tblW w:w="101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top w:w="57" w:type="dxa"/>
          <w:right w:w="57" w:type="dxa"/>
          <w:bottom w:w="57" w:type="dxa"/>
        </w:tblCellMar>
        <w:tblLook w:val="04A0" w:firstRow="1" w:lastRow="0" w:firstColumn="1" w:lastColumn="0" w:noHBand="0" w:noVBand="1"/>
      </w:tblPr>
      <w:tblGrid>
        <w:gridCol w:w="852"/>
        <w:gridCol w:w="7659"/>
        <w:gridCol w:w="1687"/>
      </w:tblGrid>
      <w:tr>
        <w:trPr>
          <w:tblHeader/>
        </w:trPr>
        <w:tc>
          <w:tcPr>
            <w:shd w:val="clear" w:color="auto" w:fill="d9d9d9"/>
            <w:tcBorders>
              <w:top w:val="single" w:color="auto" w:sz="4" w:space="0"/>
              <w:left w:val="single" w:color="auto" w:sz="4" w:space="0"/>
              <w:bottom w:val="single" w:color="auto" w:sz="4" w:space="0"/>
              <w:right w:val="single" w:color="auto" w:sz="4" w:space="0"/>
            </w:tcBorders>
            <w:tcW w:w="852" w:type="dxa"/>
            <w:vAlign w:val="center"/>
            <w:textDirection w:val="lrTb"/>
            <w:noWrap w:val="false"/>
          </w:tcPr>
          <w:p>
            <w:pPr>
              <w:ind w:left="57"/>
              <w:jc w:val="center"/>
              <w:spacing w:line="256" w:lineRule="auto"/>
              <w:rPr>
                <w:rFonts w:ascii="Times New Roman" w:hAnsi="Times New Roman"/>
                <w:b/>
                <w:lang w:eastAsia="ru-RU"/>
              </w:rPr>
            </w:pPr>
            <w:r>
              <w:rPr>
                <w:rFonts w:ascii="Times New Roman" w:hAnsi="Times New Roman"/>
                <w:b/>
              </w:rPr>
              <w:t xml:space="preserve">№ з/п</w:t>
            </w:r>
            <w:r/>
          </w:p>
        </w:tc>
        <w:tc>
          <w:tcPr>
            <w:shd w:val="clear" w:color="auto" w:fill="d9d9d9"/>
            <w:tcBorders>
              <w:top w:val="single" w:color="auto" w:sz="4" w:space="0"/>
              <w:left w:val="single" w:color="auto" w:sz="4" w:space="0"/>
              <w:bottom w:val="single" w:color="auto" w:sz="4" w:space="0"/>
              <w:right w:val="single" w:color="auto" w:sz="4" w:space="0"/>
            </w:tcBorders>
            <w:tcW w:w="7659"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t xml:space="preserve">Технічні вимоги до предмета закупівлі</w:t>
            </w:r>
            <w:r/>
          </w:p>
        </w:tc>
        <w:tc>
          <w:tcPr>
            <w:shd w:val="clear" w:color="auto" w:fill="d9d9d9"/>
            <w:tcBorders>
              <w:top w:val="single" w:color="auto" w:sz="4" w:space="0"/>
              <w:left w:val="single" w:color="auto" w:sz="4" w:space="0"/>
              <w:bottom w:val="single" w:color="auto" w:sz="4" w:space="0"/>
              <w:right w:val="single" w:color="auto" w:sz="4" w:space="0"/>
            </w:tcBorders>
            <w:tcW w:w="1687"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r>
            <w:r/>
          </w:p>
        </w:tc>
      </w:tr>
      <w:tr>
        <w:trPr>
          <w:tblHeader/>
        </w:trPr>
        <w:tc>
          <w:tcPr>
            <w:gridSpan w:val="3"/>
            <w:shd w:val="clear" w:color="auto" w:fill="d9d9d9"/>
            <w:tcBorders>
              <w:top w:val="single" w:color="auto" w:sz="4" w:space="0"/>
              <w:left w:val="single" w:color="auto" w:sz="4" w:space="0"/>
              <w:bottom w:val="single" w:color="auto" w:sz="4" w:space="0"/>
              <w:right w:val="single" w:color="auto" w:sz="4" w:space="0"/>
            </w:tcBorders>
            <w:tcW w:w="10198" w:type="dxa"/>
            <w:textDirection w:val="lrTb"/>
            <w:noWrap w:val="false"/>
          </w:tcPr>
          <w:p>
            <w:pPr>
              <w:pStyle w:val="702"/>
              <w:numPr>
                <w:ilvl w:val="0"/>
                <w:numId w:val="23"/>
              </w:numPr>
              <w:contextualSpacing w:val="0"/>
              <w:spacing w:after="0" w:line="256" w:lineRule="auto"/>
              <w:rPr>
                <w:rFonts w:ascii="Times New Roman" w:hAnsi="Times New Roman"/>
                <w:b/>
                <w:sz w:val="24"/>
                <w:szCs w:val="24"/>
                <w:lang w:val="uk-UA"/>
              </w:rPr>
            </w:pPr>
            <w:r>
              <w:rPr>
                <w:rFonts w:ascii="Times New Roman" w:hAnsi="Times New Roman"/>
                <w:b/>
                <w:sz w:val="24"/>
                <w:szCs w:val="24"/>
                <w:lang w:val="uk-UA"/>
              </w:rPr>
              <w:t xml:space="preserve">Ліцензія для забезпечення безпеки – 2 шт.</w:t>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6"/>
              </w:numPr>
              <w:ind w:left="506" w:hanging="212"/>
              <w:jc w:val="center"/>
              <w:spacing w:after="0" w:line="256" w:lineRule="auto"/>
              <w:rPr>
                <w:rFonts w:ascii="Times New Roman" w:hAnsi="Times New Roman"/>
                <w:sz w:val="24"/>
                <w:szCs w:val="24"/>
              </w:rPr>
            </w:pPr>
            <w:r>
              <w:rPr>
                <w:rFonts w:ascii="Times New Roman" w:hAnsi="Times New Roman"/>
              </w:rPr>
              <w:t xml:space="preserve">.</w:t>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Ліцензія (програмна продукція) для забезпечення безпеки:</w:t>
            </w:r>
            <w:r/>
          </w:p>
          <w:p>
            <w:pPr>
              <w:ind w:right="403"/>
              <w:spacing w:line="256" w:lineRule="auto"/>
              <w:rPr>
                <w:rFonts w:ascii="Times New Roman" w:hAnsi="Times New Roman"/>
              </w:rPr>
            </w:pPr>
            <w:r>
              <w:rPr>
                <w:rFonts w:ascii="Times New Roman" w:hAnsi="Times New Roman"/>
              </w:rPr>
            </w:r>
            <w:r/>
          </w:p>
          <w:p>
            <w:pPr>
              <w:ind w:right="403"/>
              <w:spacing w:line="256" w:lineRule="auto"/>
              <w:rPr>
                <w:rFonts w:ascii="Times New Roman" w:hAnsi="Times New Roman"/>
              </w:rPr>
            </w:pPr>
            <w:r>
              <w:rPr>
                <w:rFonts w:ascii="Times New Roman" w:hAnsi="Times New Roman"/>
              </w:rPr>
              <w:t xml:space="preserve">Характеристики:</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Активація функціоналу системи запобігання вторгнень (IPS), з підтримкою сигнатурного і поведінкового аналізу для мережевих екранів Cisco Firepower 2120 строком не менше ніж на 12 місяців.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Повинна бути можливість опису своїх сигнатур, або використання сигнатур, розроблених третіми сторонами на основі загальновідомої і загальнодоступної мови опису сигнатур.</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bl>
    <w:p>
      <w:pPr>
        <w:jc w:val="center"/>
        <w:rPr>
          <w:rFonts w:ascii="Times New Roman" w:hAnsi="Times New Roman" w:eastAsia="Times New Roman"/>
          <w:b/>
          <w:lang w:eastAsia="uk-UA"/>
        </w:rPr>
      </w:pPr>
      <w:r>
        <w:rPr>
          <w:rFonts w:ascii="Times New Roman" w:hAnsi="Times New Roman" w:eastAsia="Times New Roman"/>
          <w:b/>
          <w:lang w:eastAsia="uk-UA"/>
        </w:rPr>
      </w:r>
      <w:r/>
    </w:p>
    <w:p>
      <w:pPr>
        <w:jc w:val="center"/>
        <w:rPr>
          <w:rFonts w:ascii="Times New Roman CYR" w:hAnsi="Times New Roman CYR"/>
          <w:lang w:eastAsia="ru-RU"/>
        </w:rPr>
      </w:pPr>
      <w:r>
        <w:rPr>
          <w:rFonts w:ascii="Times New Roman CYR" w:hAnsi="Times New Roman CYR"/>
          <w:lang w:eastAsia="ru-RU"/>
        </w:rPr>
      </w:r>
      <w:r/>
    </w:p>
    <w:tbl>
      <w:tblPr>
        <w:tblW w:w="101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top w:w="57" w:type="dxa"/>
          <w:right w:w="57" w:type="dxa"/>
          <w:bottom w:w="57" w:type="dxa"/>
        </w:tblCellMar>
        <w:tblLook w:val="04A0" w:firstRow="1" w:lastRow="0" w:firstColumn="1" w:lastColumn="0" w:noHBand="0" w:noVBand="1"/>
      </w:tblPr>
      <w:tblGrid>
        <w:gridCol w:w="866"/>
        <w:gridCol w:w="7649"/>
        <w:gridCol w:w="1683"/>
      </w:tblGrid>
      <w:tr>
        <w:trPr>
          <w:tblHeader/>
        </w:trPr>
        <w:tc>
          <w:tcPr>
            <w:shd w:val="clear" w:color="auto" w:fill="d9d9d9"/>
            <w:tcBorders>
              <w:top w:val="single" w:color="auto" w:sz="4" w:space="0"/>
              <w:left w:val="single" w:color="auto" w:sz="4" w:space="0"/>
              <w:bottom w:val="single" w:color="auto" w:sz="4" w:space="0"/>
              <w:right w:val="single" w:color="auto" w:sz="4" w:space="0"/>
            </w:tcBorders>
            <w:tcW w:w="852"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t xml:space="preserve">№ з/п</w:t>
            </w:r>
            <w:r/>
          </w:p>
        </w:tc>
        <w:tc>
          <w:tcPr>
            <w:shd w:val="clear" w:color="auto" w:fill="d9d9d9"/>
            <w:tcBorders>
              <w:top w:val="single" w:color="auto" w:sz="4" w:space="0"/>
              <w:left w:val="single" w:color="auto" w:sz="4" w:space="0"/>
              <w:bottom w:val="single" w:color="auto" w:sz="4" w:space="0"/>
              <w:right w:val="single" w:color="auto" w:sz="4" w:space="0"/>
            </w:tcBorders>
            <w:tcW w:w="7659"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t xml:space="preserve">Технічні вимоги до предмета закупівлі</w:t>
            </w:r>
            <w:r/>
          </w:p>
        </w:tc>
        <w:tc>
          <w:tcPr>
            <w:shd w:val="clear" w:color="auto" w:fill="d9d9d9"/>
            <w:tcBorders>
              <w:top w:val="single" w:color="auto" w:sz="4" w:space="0"/>
              <w:left w:val="single" w:color="auto" w:sz="4" w:space="0"/>
              <w:bottom w:val="single" w:color="auto" w:sz="4" w:space="0"/>
              <w:right w:val="single" w:color="auto" w:sz="4" w:space="0"/>
            </w:tcBorders>
            <w:tcW w:w="1687" w:type="dxa"/>
            <w:vAlign w:val="center"/>
            <w:textDirection w:val="lrTb"/>
            <w:noWrap w:val="false"/>
          </w:tcPr>
          <w:p>
            <w:pPr>
              <w:ind w:left="57"/>
              <w:jc w:val="center"/>
              <w:spacing w:line="256" w:lineRule="auto"/>
              <w:rPr>
                <w:rFonts w:ascii="Times New Roman" w:hAnsi="Times New Roman"/>
                <w:b/>
              </w:rPr>
            </w:pPr>
            <w:r>
              <w:rPr>
                <w:rFonts w:ascii="Times New Roman" w:hAnsi="Times New Roman"/>
                <w:b/>
              </w:rPr>
            </w:r>
            <w:r/>
          </w:p>
        </w:tc>
      </w:tr>
      <w:tr>
        <w:trPr>
          <w:tblHeader/>
        </w:trPr>
        <w:tc>
          <w:tcPr>
            <w:gridSpan w:val="3"/>
            <w:shd w:val="clear" w:color="auto" w:fill="d9d9d9"/>
            <w:tcBorders>
              <w:top w:val="single" w:color="auto" w:sz="4" w:space="0"/>
              <w:left w:val="single" w:color="auto" w:sz="4" w:space="0"/>
              <w:bottom w:val="single" w:color="auto" w:sz="4" w:space="0"/>
              <w:right w:val="single" w:color="auto" w:sz="4" w:space="0"/>
            </w:tcBorders>
            <w:tcW w:w="10198" w:type="dxa"/>
            <w:textDirection w:val="lrTb"/>
            <w:noWrap w:val="false"/>
          </w:tcPr>
          <w:p>
            <w:pPr>
              <w:pStyle w:val="702"/>
              <w:numPr>
                <w:ilvl w:val="0"/>
                <w:numId w:val="23"/>
              </w:numPr>
              <w:contextualSpacing w:val="0"/>
              <w:spacing w:after="0" w:line="256" w:lineRule="auto"/>
              <w:rPr>
                <w:rFonts w:ascii="Times New Roman" w:hAnsi="Times New Roman"/>
                <w:b/>
                <w:sz w:val="24"/>
                <w:szCs w:val="24"/>
                <w:lang w:val="uk-UA"/>
              </w:rPr>
            </w:pPr>
            <w:r>
              <w:rPr>
                <w:rFonts w:ascii="Times New Roman" w:hAnsi="Times New Roman"/>
                <w:b/>
                <w:sz w:val="24"/>
                <w:szCs w:val="24"/>
                <w:lang w:val="uk-UA"/>
              </w:rPr>
              <w:t xml:space="preserve">Комплект ліцензій для системи відеоконференцзв’язку – 1 комплект</w:t>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sz w:val="24"/>
                <w:szCs w:val="24"/>
              </w:rPr>
            </w:pPr>
            <w:r>
              <w:rPr>
                <w:rFonts w:ascii="Times New Roman" w:hAnsi="Times New Roman"/>
              </w:rPr>
              <w:t xml:space="preserve">.</w:t>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Загальні вимоги: </w:t>
            </w:r>
            <w:r/>
          </w:p>
          <w:p>
            <w:pPr>
              <w:ind w:right="403"/>
              <w:spacing w:line="256" w:lineRule="auto"/>
              <w:rPr>
                <w:rFonts w:ascii="Times New Roman" w:hAnsi="Times New Roman"/>
              </w:rPr>
            </w:pPr>
            <w:r>
              <w:rPr>
                <w:rFonts w:ascii="Times New Roman" w:hAnsi="Times New Roman"/>
              </w:rPr>
            </w:r>
            <w:r/>
          </w:p>
          <w:p>
            <w:pPr>
              <w:ind w:right="403"/>
              <w:spacing w:line="256" w:lineRule="auto"/>
              <w:rPr>
                <w:rFonts w:ascii="Times New Roman" w:hAnsi="Times New Roman"/>
              </w:rPr>
            </w:pPr>
            <w:r>
              <w:rPr>
                <w:rFonts w:ascii="Times New Roman" w:hAnsi="Times New Roman"/>
              </w:rPr>
              <w:t xml:space="preserve">Комплект ліцензій (програмного забезпечення (далі – ПЗ)) системи відеоконференцзв’язку (далі – ВКЗ) має забезпечувати наступні функції: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Реалізовуватися на обчисл</w:t>
            </w:r>
            <w:r>
              <w:rPr>
                <w:rFonts w:ascii="Times New Roman" w:hAnsi="Times New Roman"/>
                <w:sz w:val="24"/>
                <w:szCs w:val="24"/>
                <w:lang w:val="uk-UA"/>
              </w:rPr>
              <w:t xml:space="preserve">ювальних ресурсах виробника рішення (вендора) без використання обчислювальних ресурсів Замовника. На фізичному обладнанні Замовника не повинно вимагатися завантаження і встановлення додаткових програмних компонентів які підтримують роботоздатність системи;</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Забезпечувати підключення користувачів до відео зустрічей з можливістю інтегрованого обміну голосом, відео і контентом;</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Підтримка роботи виділених кімнат відеоконференцзв'язку що інтегруються з відеокімнатами Замовника для організації реалістичних відео-зустрічей;</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Дозволяти зареєструвати не менше 5 (п’яти) іменованих користувачів, кожен з яких повинен мати можливість бути організатором відео-зустрічі за допомогою виділеної кімнати відеоконференцзв'язку;</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Кількість виділених відео-кімнат повинно бути не менше 5шт.;</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забезпечення катастрофостійкісті, що передбачає наявність у “хмарі” виробника рішення (вендора) серверного кластеру, що може бути географічно розподіленим по Україні або країнам Європейського Союзу, мати єдине (як для одного цілого) керування;</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ПЗ повинне надаватися, як у вигляді готового продукту, так і у вигляді SDK для iOS та Android.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ПЗ повинно інтегруватися з існуючим контакт-центром замовника Cisco Contact Center Enterprise для забезпечення відеозв’язку між зовнішнім гостьовим абонентом (що не має логінів та паролів до системи) та агентом контакт-центру.</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Повинна бути передбачена можливість організовувати відеоконференції або можливість приєднуватися до “хмарних” відео-зустрічей безпосередньо з корпоративного месенджера “хмарного” ПЗ незалежно від місця розташування учасника.</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Вимоги до кімнати “хмарної” системи відеоконференцзв’язку (далі - ВКЗ):</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безперервний доступ до замовлених голосових да відео ресурсів ("VoIP") хмарної системи ВКЗ;</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можливість підключати у сесію одночасно до 1000 учасників за посиланням;</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ПЗ хмарної системи ВКЗ дисковий простір для запису та збереження відеопотоку зустрічей, що проводяться;</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можливість запису  відеоконференцій, що відбуваються с подальшим збереженням його  на персонального комп'ютері;</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можливість трансляції (“streaming”) відеоконференції у Facebook чи Youtube, з метою розповсюдження контенту іншим користувачам інтернету;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внутрішній корпоративний месенджер, для здійснення передачі повідомлень та іншої робочої інформації;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у складі можливість створення базових реєстраційних форм для  учасників відеоконференцій за  шаблоном</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хостом відеоконференції права для можливості віддалено керувати робочим столом ПК замовника. За  необхідності виконання  робіт чи технічної підтримки.</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Вимоги до сумісності:</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підтримувати інтеграцію з сервісом Microsoft Teams, спеціалізовані функції аудіо та відеоконференцій;</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підтримувати підключення у  відеоконференцію з усіх відомих мобільних платформ (Apple iOS, Android), і всіх популярних операційних систем (MacOS, Windows, Linux);</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мати функціонал оповіщення учасників з використанням механізму електронної пошти при плануванні відео-зустрічей.</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Вимоги до безпеки:</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Хмарна система ВКЗ не повинна передавати інформацію про </w:t>
            </w:r>
            <w:r>
              <w:rPr>
                <w:rFonts w:ascii="Times New Roman" w:hAnsi="Times New Roman"/>
                <w:sz w:val="24"/>
                <w:szCs w:val="24"/>
                <w:lang w:val="uk-UA"/>
              </w:rPr>
              <w:t xml:space="preserve">користувачів і телеметрії відео-зустрічей третім особам і не повинна використовувати цю інформацію в маркетингових цілях.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Платформа для організації хмарної системи ВКЗ на стороні виробника рішення (вендора) повинна бути цілком безпечною, що масштабується на глобальній платформі з підтримкою наскрізного (“end-to-end”) шифрування;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Всі дані, сигнальні протоколи і медіа трафік повинні передаватися в зашифрованому вигляді на основі сучасних проколів шифрування (TLS 1.2, SIPt, sRTP, тощо).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Всі записи і транскрипції повинні зберігатися в зашифрованому вигляді в хмарі. При використанні даного ПЗ хмарна система ВКС не повинна використовувати сервіси третіх компаній (функції транскрипції, зберігання контенту, відеозапису, тощо).</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Вимоги до кімнати іменованого користувача (не менше 5 шт.):</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хостом (організатором) планувати веб-конференції з вибором дати, часом початку, тривалості;</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підключати в сесію до 1000 учасників одночасно за посиланням; </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демонструвати робочий стіл ПК або конкретну презентацію для демонстрації всім слухачам сесії;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записувати все, що відбувається на екрані веб-конференції з подальшим збереженням або на ПК, або в хмарі;</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Наявність хмарного диску збереження не менш ніж 20 GB;</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Використання чату усіма учасниками веб-конференції;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передачі прав хоста іншому користувачеві із застосуванням спеціального пароля;</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Шифрування переданого трафіку веб-конференції (TLS 1.2, SIPt, sRTP);</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робити трансляцію (“streaming”) відеоконференції на ресурси Facebook або Youtube;</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приймати відео-дзвінки в сесію від користувачів Skype for Business;</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організатором (хостом) отримувати доступ та управління до віддаленого столу ПК будь-якого з учасників сесії</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spacing w:line="256" w:lineRule="auto"/>
              <w:rPr>
                <w:rFonts w:ascii="Times New Roman" w:hAnsi="Times New Roman"/>
              </w:rPr>
            </w:pPr>
            <w:r>
              <w:rPr>
                <w:rFonts w:ascii="Times New Roman" w:hAnsi="Times New Roman"/>
              </w:rPr>
              <w:t xml:space="preserve">Вимоги до функціоналу керування обліковими записами (не менше 5 шт.):</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управління дотриманням вимог та бізнес-аналітика для  задоволення потреб користувачів та клієнтів;</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Блокування зовнішнього спілкування - для захисту даних організації та запобігання обміну даними за межами організації;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Застосування PIN-коду для забезпечення безпеки вмісту в командах хмарної системи ВКЗ;</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Відкликання доступу. При втраті мобільного телефону чи ПК, </w:t>
            </w:r>
            <w:r>
              <w:rPr>
                <w:rFonts w:ascii="Times New Roman" w:hAnsi="Times New Roman"/>
                <w:sz w:val="24"/>
                <w:szCs w:val="24"/>
                <w:lang w:val="uk-UA"/>
              </w:rPr>
              <w:t xml:space="preserve">можливість віддаленого скасувати доступ і стирання будь-якого кешованого вмісту;</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Контроль обміну файлами, для запобігання втраті даних, усунення проблем зі зловмисним програмним забезпеченням і застосування політик контролю;</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Інструмент пошуку та вилучення eDiscovery;</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API інтерфейс для доступу до подій безпеки (для подальшого опрацювання системами типу DLP та архівації);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Можливість надання детального аналізу даних користувачів не менш ніж за 12 місяців функціонування та роботи.</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r>
        <w:trPr/>
        <w:tc>
          <w:tcPr>
            <w:tcBorders>
              <w:top w:val="single" w:color="auto" w:sz="4" w:space="0"/>
              <w:left w:val="single" w:color="auto" w:sz="4" w:space="0"/>
              <w:bottom w:val="single" w:color="auto" w:sz="4" w:space="0"/>
              <w:right w:val="single" w:color="auto" w:sz="4" w:space="0"/>
            </w:tcBorders>
            <w:tcW w:w="852" w:type="dxa"/>
            <w:textDirection w:val="lrTb"/>
            <w:noWrap w:val="false"/>
          </w:tcPr>
          <w:p>
            <w:pPr>
              <w:numPr>
                <w:ilvl w:val="0"/>
                <w:numId w:val="27"/>
              </w:numPr>
              <w:jc w:val="center"/>
              <w:spacing w:after="0" w:line="256" w:lineRule="auto"/>
              <w:rPr>
                <w:rFonts w:ascii="Times New Roman" w:hAnsi="Times New Roman"/>
              </w:rPr>
            </w:pPr>
            <w:r>
              <w:rPr>
                <w:rFonts w:ascii="Times New Roman" w:hAnsi="Times New Roman"/>
              </w:rPr>
            </w:r>
            <w:r/>
          </w:p>
        </w:tc>
        <w:tc>
          <w:tcPr>
            <w:tcBorders>
              <w:top w:val="single" w:color="auto" w:sz="4" w:space="0"/>
              <w:left w:val="single" w:color="auto" w:sz="4" w:space="0"/>
              <w:bottom w:val="single" w:color="auto" w:sz="4" w:space="0"/>
              <w:right w:val="single" w:color="auto" w:sz="4" w:space="0"/>
            </w:tcBorders>
            <w:tcW w:w="7659" w:type="dxa"/>
            <w:textDirection w:val="lrTb"/>
            <w:noWrap w:val="false"/>
          </w:tcPr>
          <w:p>
            <w:pPr>
              <w:ind w:right="403"/>
              <w:jc w:val="both"/>
              <w:spacing w:line="256" w:lineRule="auto"/>
              <w:rPr>
                <w:rFonts w:ascii="Times New Roman" w:hAnsi="Times New Roman"/>
              </w:rPr>
            </w:pPr>
            <w:r>
              <w:rPr>
                <w:rFonts w:ascii="Times New Roman" w:hAnsi="Times New Roman"/>
              </w:rPr>
              <w:t xml:space="preserve">Технічна підтримка та гарантії:</w:t>
            </w:r>
            <w:r/>
          </w:p>
          <w:p>
            <w:pPr>
              <w:pStyle w:val="702"/>
              <w:numPr>
                <w:ilvl w:val="0"/>
                <w:numId w:val="25"/>
              </w:numPr>
              <w:ind w:right="403"/>
              <w:jc w:val="both"/>
              <w:spacing w:after="0" w:line="256" w:lineRule="auto"/>
              <w:widowControl w:val="off"/>
              <w:rPr>
                <w:rFonts w:ascii="Times New Roman" w:hAnsi="Times New Roman"/>
                <w:sz w:val="24"/>
                <w:szCs w:val="24"/>
                <w:lang w:val="uk-UA"/>
              </w:rPr>
            </w:pPr>
            <w:r>
              <w:rPr>
                <w:rFonts w:ascii="Times New Roman" w:hAnsi="Times New Roman"/>
                <w:sz w:val="24"/>
                <w:szCs w:val="24"/>
                <w:lang w:val="uk-UA"/>
              </w:rPr>
              <w:t xml:space="preserve">технічна підтримки від виробника строком не менше ніж 12 місяців.</w:t>
            </w:r>
            <w:r/>
          </w:p>
        </w:tc>
        <w:tc>
          <w:tcPr>
            <w:tcBorders>
              <w:top w:val="single" w:color="auto" w:sz="4" w:space="0"/>
              <w:left w:val="single" w:color="auto" w:sz="4" w:space="0"/>
              <w:bottom w:val="single" w:color="auto" w:sz="4" w:space="0"/>
              <w:right w:val="single" w:color="auto" w:sz="4" w:space="0"/>
            </w:tcBorders>
            <w:tcW w:w="1687" w:type="dxa"/>
            <w:textDirection w:val="lrTb"/>
            <w:noWrap w:val="false"/>
          </w:tcPr>
          <w:p>
            <w:pPr>
              <w:ind w:left="57"/>
              <w:spacing w:line="256" w:lineRule="auto"/>
              <w:rPr>
                <w:rFonts w:ascii="Times New Roman" w:hAnsi="Times New Roman"/>
                <w:sz w:val="24"/>
                <w:szCs w:val="24"/>
              </w:rPr>
            </w:pPr>
            <w:r>
              <w:rPr>
                <w:rFonts w:ascii="Times New Roman" w:hAnsi="Times New Roman"/>
                <w:sz w:val="24"/>
                <w:szCs w:val="24"/>
              </w:rPr>
            </w:r>
            <w:r/>
          </w:p>
        </w:tc>
      </w:tr>
    </w:tbl>
    <w:p>
      <w:pPr>
        <w:jc w:val="center"/>
        <w:rPr>
          <w:rFonts w:ascii="Times New Roman" w:hAnsi="Times New Roman" w:eastAsia="Times New Roman"/>
          <w:b/>
          <w:lang w:eastAsia="uk-UA"/>
        </w:rPr>
      </w:pPr>
      <w:r>
        <w:rPr>
          <w:rFonts w:ascii="Times New Roman" w:hAnsi="Times New Roman" w:eastAsia="Times New Roman"/>
          <w:b/>
          <w:lang w:eastAsia="uk-UA"/>
        </w:rPr>
      </w:r>
      <w:r/>
    </w:p>
    <w:p>
      <w:pPr>
        <w:ind w:firstLine="567"/>
        <w:jc w:val="both"/>
        <w:spacing w:before="40"/>
        <w:rPr>
          <w:rFonts w:ascii="Times New Roman" w:hAnsi="Times New Roman"/>
          <w:b/>
          <w:lang w:eastAsia="ru-RU"/>
        </w:rPr>
      </w:pPr>
      <w:r>
        <w:rPr>
          <w:rFonts w:ascii="Times New Roman" w:hAnsi="Times New Roman"/>
          <w:spacing w:val="-4"/>
          <w:lang w:bidi="uk-UA"/>
        </w:rPr>
        <w:t xml:space="preserve">Учасники торгів повинні належним чином здійснювати діяльніст</w:t>
      </w:r>
      <w:r>
        <w:rPr>
          <w:rFonts w:ascii="Times New Roman" w:hAnsi="Times New Roman"/>
          <w:spacing w:val="-4"/>
          <w:lang w:bidi="uk-UA"/>
        </w:rPr>
        <w:t xml:space="preserve">ь щодо предмету закупівлі. У зв’язку з цим для належного захисту інтересів Замовника щодо авторизованого джерела постачання товару за даними торгами, у відповідності до товарів, що пропонуються, учасники торгів повинні надати авторизаційний лист(-и) від ви</w:t>
      </w:r>
      <w:r>
        <w:rPr>
          <w:rFonts w:ascii="Times New Roman" w:hAnsi="Times New Roman"/>
          <w:spacing w:val="-4"/>
          <w:lang w:bidi="uk-UA"/>
        </w:rPr>
        <w:t xml:space="preserve">робника(-ів) програмного забезпечення (або його офіційного представника/офіційного дистриб’ютора у разі відсутності виробника в Україні), що підтверджує(-ють) повноваження учасника на розповсюдження в Україні продуктів виробника, які є предметом закупівлі.</w:t>
      </w:r>
      <w:r>
        <w:rPr>
          <w:rFonts w:ascii="Times New Roman" w:hAnsi="Times New Roman"/>
          <w:b/>
        </w:rPr>
        <w:t xml:space="preserve"> </w:t>
      </w:r>
      <w:r/>
    </w:p>
    <w:p>
      <w:pPr>
        <w:ind w:firstLine="567"/>
        <w:jc w:val="both"/>
        <w:spacing w:before="40"/>
        <w:rPr>
          <w:rFonts w:ascii="Times New Roman" w:hAnsi="Times New Roman"/>
          <w:spacing w:val="-4"/>
          <w:lang w:bidi="uk-UA"/>
        </w:rPr>
      </w:pPr>
      <w:r>
        <w:rPr>
          <w:rFonts w:ascii="Times New Roman" w:hAnsi="Times New Roman"/>
          <w:spacing w:val="-4"/>
          <w:lang w:bidi="uk-UA"/>
        </w:rPr>
        <w:t xml:space="preserve">У листі має бути зазначено: назву учасника; назву предмета закупівлі та/або номер закупівлі; повноваження учасника на розповсюдження в Україні продуктів виробника.</w:t>
      </w:r>
      <w:r/>
    </w:p>
    <w:p>
      <w:pPr>
        <w:jc w:val="both"/>
        <w:rPr>
          <w:rFonts w:ascii="Times New Roman" w:hAnsi="Times New Roman"/>
          <w:b/>
          <w:lang w:eastAsia="uk-UA"/>
        </w:rPr>
      </w:pPr>
      <w:r>
        <w:rPr>
          <w:rFonts w:ascii="Times New Roman" w:hAnsi="Times New Roman"/>
          <w:i/>
        </w:rPr>
        <w:t xml:space="preserve">У </w:t>
      </w:r>
      <w:r>
        <w:rPr>
          <w:rFonts w:ascii="Times New Roman" w:hAnsi="Times New Roman"/>
          <w:i/>
          <w:spacing w:val="-2"/>
        </w:rPr>
        <w:t xml:space="preserve">разі надання учасником вказаного вище листа іноземною мовою, окрім англійської, він повинен бути перекладений українською мовою. Переклад повинен бути засвідчений підписом уповноваженої особи учасника (якщо учасником</w:t>
      </w:r>
      <w:r>
        <w:rPr>
          <w:rFonts w:ascii="Times New Roman" w:hAnsi="Times New Roman"/>
          <w:i/>
        </w:rPr>
        <w:t xml:space="preserve"> є фізична особа, підписами перекладача та учасника – фізичної особи).</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 xml:space="preserve">1 452 971</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val="en-US"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мільйон чотириста п’ятдесят дві </w:t>
      </w:r>
      <w:r>
        <w:rPr>
          <w:rFonts w:ascii="Times New Roman" w:hAnsi="Times New Roman" w:eastAsia="Times New Roman" w:cs="Times New Roman"/>
          <w:sz w:val="24"/>
          <w:szCs w:val="24"/>
          <w:lang w:eastAsia="ru-RU"/>
        </w:rPr>
        <w:t xml:space="preserve">тися</w:t>
      </w:r>
      <w:r>
        <w:rPr>
          <w:rFonts w:ascii="Times New Roman" w:hAnsi="Times New Roman" w:eastAsia="Times New Roman" w:cs="Times New Roman"/>
          <w:sz w:val="24"/>
          <w:szCs w:val="24"/>
          <w:lang w:eastAsia="ru-RU"/>
        </w:rPr>
        <w:t xml:space="preserve">ч</w:t>
      </w:r>
      <w:r>
        <w:rPr>
          <w:rFonts w:ascii="Times New Roman" w:hAnsi="Times New Roman" w:eastAsia="Times New Roman" w:cs="Times New Roman"/>
          <w:sz w:val="24"/>
          <w:szCs w:val="24"/>
          <w:lang w:eastAsia="ru-RU"/>
        </w:rPr>
        <w:t xml:space="preserve">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дев’ятсот сімдесят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696"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36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696"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2">
    <w:multiLevelType w:val="hybridMultilevel"/>
    <w:lvl w:ilvl="0">
      <w:start w:val="1"/>
      <w:numFmt w:val="bullet"/>
      <w:isLgl w:val="false"/>
      <w:suff w:val="tab"/>
      <w:lvlText w:val="-"/>
      <w:lvlJc w:val="left"/>
      <w:pPr>
        <w:ind w:left="713" w:hanging="360"/>
      </w:pPr>
      <w:rPr>
        <w:rFonts w:hint="default" w:ascii="Times New Roman" w:hAnsi="Times New Roman" w:eastAsia="Times New Roman" w:cs="Times New Roman"/>
      </w:rPr>
    </w:lvl>
    <w:lvl w:ilvl="1">
      <w:start w:val="1"/>
      <w:numFmt w:val="bullet"/>
      <w:isLgl w:val="false"/>
      <w:suff w:val="tab"/>
      <w:lvlText w:val="o"/>
      <w:lvlJc w:val="left"/>
      <w:pPr>
        <w:ind w:left="1433" w:hanging="360"/>
      </w:pPr>
      <w:rPr>
        <w:rFonts w:hint="default" w:ascii="Courier New" w:hAnsi="Courier New" w:cs="Courier New"/>
      </w:rPr>
    </w:lvl>
    <w:lvl w:ilvl="2">
      <w:start w:val="1"/>
      <w:numFmt w:val="bullet"/>
      <w:isLgl w:val="false"/>
      <w:suff w:val="tab"/>
      <w:lvlText w:val=""/>
      <w:lvlJc w:val="left"/>
      <w:pPr>
        <w:ind w:left="2153" w:hanging="360"/>
      </w:pPr>
      <w:rPr>
        <w:rFonts w:hint="default" w:ascii="Wingdings" w:hAnsi="Wingdings"/>
      </w:rPr>
    </w:lvl>
    <w:lvl w:ilvl="3">
      <w:start w:val="1"/>
      <w:numFmt w:val="bullet"/>
      <w:isLgl w:val="false"/>
      <w:suff w:val="tab"/>
      <w:lvlText w:val=""/>
      <w:lvlJc w:val="left"/>
      <w:pPr>
        <w:ind w:left="2873" w:hanging="360"/>
      </w:pPr>
      <w:rPr>
        <w:rFonts w:hint="default" w:ascii="Symbol" w:hAnsi="Symbol"/>
      </w:rPr>
    </w:lvl>
    <w:lvl w:ilvl="4">
      <w:start w:val="1"/>
      <w:numFmt w:val="bullet"/>
      <w:isLgl w:val="false"/>
      <w:suff w:val="tab"/>
      <w:lvlText w:val="o"/>
      <w:lvlJc w:val="left"/>
      <w:pPr>
        <w:ind w:left="3593" w:hanging="360"/>
      </w:pPr>
      <w:rPr>
        <w:rFonts w:hint="default" w:ascii="Courier New" w:hAnsi="Courier New" w:cs="Courier New"/>
      </w:rPr>
    </w:lvl>
    <w:lvl w:ilvl="5">
      <w:start w:val="1"/>
      <w:numFmt w:val="bullet"/>
      <w:isLgl w:val="false"/>
      <w:suff w:val="tab"/>
      <w:lvlText w:val=""/>
      <w:lvlJc w:val="left"/>
      <w:pPr>
        <w:ind w:left="4313" w:hanging="360"/>
      </w:pPr>
      <w:rPr>
        <w:rFonts w:hint="default" w:ascii="Wingdings" w:hAnsi="Wingdings"/>
      </w:rPr>
    </w:lvl>
    <w:lvl w:ilvl="6">
      <w:start w:val="1"/>
      <w:numFmt w:val="bullet"/>
      <w:isLgl w:val="false"/>
      <w:suff w:val="tab"/>
      <w:lvlText w:val=""/>
      <w:lvlJc w:val="left"/>
      <w:pPr>
        <w:ind w:left="5033" w:hanging="360"/>
      </w:pPr>
      <w:rPr>
        <w:rFonts w:hint="default" w:ascii="Symbol" w:hAnsi="Symbol"/>
      </w:rPr>
    </w:lvl>
    <w:lvl w:ilvl="7">
      <w:start w:val="1"/>
      <w:numFmt w:val="bullet"/>
      <w:isLgl w:val="false"/>
      <w:suff w:val="tab"/>
      <w:lvlText w:val="o"/>
      <w:lvlJc w:val="left"/>
      <w:pPr>
        <w:ind w:left="5753" w:hanging="360"/>
      </w:pPr>
      <w:rPr>
        <w:rFonts w:hint="default" w:ascii="Courier New" w:hAnsi="Courier New" w:cs="Courier New"/>
      </w:rPr>
    </w:lvl>
    <w:lvl w:ilvl="8">
      <w:start w:val="1"/>
      <w:numFmt w:val="bullet"/>
      <w:isLgl w:val="false"/>
      <w:suff w:val="tab"/>
      <w:lvlText w:val=""/>
      <w:lvlJc w:val="left"/>
      <w:pPr>
        <w:ind w:left="6473"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696"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2880" w:hanging="360"/>
      </w:pPr>
    </w:lvl>
    <w:lvl w:ilvl="2">
      <w:start w:val="1"/>
      <w:numFmt w:val="decimal"/>
      <w:isLgl/>
      <w:suff w:val="tab"/>
      <w:lvlText w:val="%1.%2.%3."/>
      <w:lvlJc w:val="left"/>
      <w:pPr>
        <w:ind w:left="5400" w:hanging="720"/>
      </w:pPr>
    </w:lvl>
    <w:lvl w:ilvl="3">
      <w:start w:val="1"/>
      <w:numFmt w:val="decimal"/>
      <w:isLgl/>
      <w:suff w:val="tab"/>
      <w:lvlText w:val="%1.%2.%3.%4."/>
      <w:lvlJc w:val="left"/>
      <w:pPr>
        <w:ind w:left="7560" w:hanging="720"/>
      </w:pPr>
    </w:lvl>
    <w:lvl w:ilvl="4">
      <w:start w:val="1"/>
      <w:numFmt w:val="decimal"/>
      <w:isLgl/>
      <w:suff w:val="tab"/>
      <w:lvlText w:val="%1.%2.%3.%4.%5."/>
      <w:lvlJc w:val="left"/>
      <w:pPr>
        <w:ind w:left="10080" w:hanging="1080"/>
      </w:pPr>
    </w:lvl>
    <w:lvl w:ilvl="5">
      <w:start w:val="1"/>
      <w:numFmt w:val="decimal"/>
      <w:isLgl/>
      <w:suff w:val="tab"/>
      <w:lvlText w:val="%1.%2.%3.%4.%5.%6."/>
      <w:lvlJc w:val="left"/>
      <w:pPr>
        <w:ind w:left="12240" w:hanging="1080"/>
      </w:pPr>
    </w:lvl>
    <w:lvl w:ilvl="6">
      <w:start w:val="1"/>
      <w:numFmt w:val="decimal"/>
      <w:isLgl/>
      <w:suff w:val="tab"/>
      <w:lvlText w:val="%1.%2.%3.%4.%5.%6.%7."/>
      <w:lvlJc w:val="left"/>
      <w:pPr>
        <w:ind w:left="14760" w:hanging="1440"/>
      </w:pPr>
    </w:lvl>
    <w:lvl w:ilvl="7">
      <w:start w:val="1"/>
      <w:numFmt w:val="decimal"/>
      <w:isLgl/>
      <w:suff w:val="tab"/>
      <w:lvlText w:val="%1.%2.%3.%4.%5.%6.%7.%8."/>
      <w:lvlJc w:val="left"/>
      <w:pPr>
        <w:ind w:left="16920" w:hanging="1440"/>
      </w:pPr>
    </w:lvl>
    <w:lvl w:ilvl="8">
      <w:start w:val="1"/>
      <w:numFmt w:val="decimal"/>
      <w:isLgl/>
      <w:suff w:val="tab"/>
      <w:lvlText w:val="%1.%2.%3.%4.%5.%6.%7.%8.%9."/>
      <w:lvlJc w:val="left"/>
      <w:pPr>
        <w:ind w:left="19440" w:hanging="1800"/>
      </w:pPr>
    </w:lvl>
  </w:abstractNum>
  <w:num w:numId="1">
    <w:abstractNumId w:val="18"/>
  </w:num>
  <w:num w:numId="2">
    <w:abstractNumId w:val="13"/>
  </w:num>
  <w:num w:numId="3">
    <w:abstractNumId w:val="7"/>
  </w:num>
  <w:num w:numId="4">
    <w:abstractNumId w:val="15"/>
  </w:num>
  <w:num w:numId="5">
    <w:abstractNumId w:val="6"/>
  </w:num>
  <w:num w:numId="6">
    <w:abstractNumId w:val="19"/>
  </w:num>
  <w:num w:numId="7">
    <w:abstractNumId w:val="9"/>
  </w:num>
  <w:num w:numId="8">
    <w:abstractNumId w:val="21"/>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0"/>
  </w:num>
  <w:num w:numId="18">
    <w:abstractNumId w:val="24"/>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97"/>
    <w:next w:val="69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99"/>
    <w:link w:val="12"/>
    <w:uiPriority w:val="9"/>
    <w:rPr>
      <w:rFonts w:ascii="Arial" w:hAnsi="Arial" w:eastAsia="Arial" w:cs="Arial"/>
      <w:sz w:val="40"/>
      <w:szCs w:val="40"/>
    </w:rPr>
  </w:style>
  <w:style w:type="character" w:styleId="15">
    <w:name w:val="Heading 2 Char"/>
    <w:basedOn w:val="699"/>
    <w:link w:val="698"/>
    <w:uiPriority w:val="9"/>
    <w:rPr>
      <w:rFonts w:ascii="Arial" w:hAnsi="Arial" w:eastAsia="Arial" w:cs="Arial"/>
      <w:sz w:val="34"/>
    </w:rPr>
  </w:style>
  <w:style w:type="paragraph" w:styleId="16">
    <w:name w:val="Heading 3"/>
    <w:basedOn w:val="697"/>
    <w:next w:val="69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99"/>
    <w:link w:val="16"/>
    <w:uiPriority w:val="9"/>
    <w:rPr>
      <w:rFonts w:ascii="Arial" w:hAnsi="Arial" w:eastAsia="Arial" w:cs="Arial"/>
      <w:sz w:val="30"/>
      <w:szCs w:val="30"/>
    </w:rPr>
  </w:style>
  <w:style w:type="paragraph" w:styleId="18">
    <w:name w:val="Heading 4"/>
    <w:basedOn w:val="697"/>
    <w:next w:val="69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9"/>
    <w:link w:val="18"/>
    <w:uiPriority w:val="9"/>
    <w:rPr>
      <w:rFonts w:ascii="Arial" w:hAnsi="Arial" w:eastAsia="Arial" w:cs="Arial"/>
      <w:b/>
      <w:bCs/>
      <w:sz w:val="26"/>
      <w:szCs w:val="26"/>
    </w:rPr>
  </w:style>
  <w:style w:type="paragraph" w:styleId="20">
    <w:name w:val="Heading 5"/>
    <w:basedOn w:val="697"/>
    <w:next w:val="69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9"/>
    <w:link w:val="20"/>
    <w:uiPriority w:val="9"/>
    <w:rPr>
      <w:rFonts w:ascii="Arial" w:hAnsi="Arial" w:eastAsia="Arial" w:cs="Arial"/>
      <w:b/>
      <w:bCs/>
      <w:sz w:val="24"/>
      <w:szCs w:val="24"/>
    </w:rPr>
  </w:style>
  <w:style w:type="paragraph" w:styleId="22">
    <w:name w:val="Heading 6"/>
    <w:basedOn w:val="697"/>
    <w:next w:val="69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9"/>
    <w:link w:val="22"/>
    <w:uiPriority w:val="9"/>
    <w:rPr>
      <w:rFonts w:ascii="Arial" w:hAnsi="Arial" w:eastAsia="Arial" w:cs="Arial"/>
      <w:b/>
      <w:bCs/>
      <w:sz w:val="22"/>
      <w:szCs w:val="22"/>
    </w:rPr>
  </w:style>
  <w:style w:type="paragraph" w:styleId="24">
    <w:name w:val="Heading 7"/>
    <w:basedOn w:val="697"/>
    <w:next w:val="69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9"/>
    <w:link w:val="24"/>
    <w:uiPriority w:val="9"/>
    <w:rPr>
      <w:rFonts w:ascii="Arial" w:hAnsi="Arial" w:eastAsia="Arial" w:cs="Arial"/>
      <w:b/>
      <w:bCs/>
      <w:i/>
      <w:iCs/>
      <w:sz w:val="22"/>
      <w:szCs w:val="22"/>
    </w:rPr>
  </w:style>
  <w:style w:type="paragraph" w:styleId="26">
    <w:name w:val="Heading 8"/>
    <w:basedOn w:val="697"/>
    <w:next w:val="69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9"/>
    <w:link w:val="26"/>
    <w:uiPriority w:val="9"/>
    <w:rPr>
      <w:rFonts w:ascii="Arial" w:hAnsi="Arial" w:eastAsia="Arial" w:cs="Arial"/>
      <w:i/>
      <w:iCs/>
      <w:sz w:val="22"/>
      <w:szCs w:val="22"/>
    </w:rPr>
  </w:style>
  <w:style w:type="paragraph" w:styleId="28">
    <w:name w:val="Heading 9"/>
    <w:basedOn w:val="697"/>
    <w:next w:val="69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9"/>
    <w:link w:val="28"/>
    <w:uiPriority w:val="9"/>
    <w:rPr>
      <w:rFonts w:ascii="Arial" w:hAnsi="Arial" w:eastAsia="Arial" w:cs="Arial"/>
      <w:i/>
      <w:iCs/>
      <w:sz w:val="21"/>
      <w:szCs w:val="21"/>
    </w:rPr>
  </w:style>
  <w:style w:type="paragraph" w:styleId="33">
    <w:name w:val="Title"/>
    <w:basedOn w:val="697"/>
    <w:next w:val="697"/>
    <w:link w:val="34"/>
    <w:uiPriority w:val="10"/>
    <w:qFormat/>
    <w:pPr>
      <w:contextualSpacing/>
      <w:spacing w:before="300" w:after="200"/>
    </w:pPr>
    <w:rPr>
      <w:sz w:val="48"/>
      <w:szCs w:val="48"/>
    </w:rPr>
  </w:style>
  <w:style w:type="character" w:styleId="34">
    <w:name w:val="Title Char"/>
    <w:basedOn w:val="699"/>
    <w:link w:val="33"/>
    <w:uiPriority w:val="10"/>
    <w:rPr>
      <w:sz w:val="48"/>
      <w:szCs w:val="48"/>
    </w:rPr>
  </w:style>
  <w:style w:type="paragraph" w:styleId="35">
    <w:name w:val="Subtitle"/>
    <w:basedOn w:val="697"/>
    <w:next w:val="697"/>
    <w:link w:val="36"/>
    <w:uiPriority w:val="11"/>
    <w:qFormat/>
    <w:pPr>
      <w:spacing w:before="200" w:after="200"/>
    </w:pPr>
    <w:rPr>
      <w:sz w:val="24"/>
      <w:szCs w:val="24"/>
    </w:rPr>
  </w:style>
  <w:style w:type="character" w:styleId="36">
    <w:name w:val="Subtitle Char"/>
    <w:basedOn w:val="699"/>
    <w:link w:val="35"/>
    <w:uiPriority w:val="11"/>
    <w:rPr>
      <w:sz w:val="24"/>
      <w:szCs w:val="24"/>
    </w:rPr>
  </w:style>
  <w:style w:type="paragraph" w:styleId="37">
    <w:name w:val="Quote"/>
    <w:basedOn w:val="697"/>
    <w:next w:val="697"/>
    <w:link w:val="38"/>
    <w:uiPriority w:val="29"/>
    <w:qFormat/>
    <w:pPr>
      <w:ind w:left="720" w:right="720"/>
    </w:pPr>
    <w:rPr>
      <w:i/>
    </w:rPr>
  </w:style>
  <w:style w:type="character" w:styleId="38">
    <w:name w:val="Quote Char"/>
    <w:link w:val="37"/>
    <w:uiPriority w:val="29"/>
    <w:rPr>
      <w:i/>
    </w:rPr>
  </w:style>
  <w:style w:type="paragraph" w:styleId="39">
    <w:name w:val="Intense Quote"/>
    <w:basedOn w:val="697"/>
    <w:next w:val="69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97"/>
    <w:link w:val="42"/>
    <w:uiPriority w:val="99"/>
    <w:unhideWhenUsed/>
    <w:pPr>
      <w:spacing w:after="0" w:line="240" w:lineRule="auto"/>
      <w:tabs>
        <w:tab w:val="center" w:pos="7143" w:leader="none"/>
        <w:tab w:val="right" w:pos="14287" w:leader="none"/>
      </w:tabs>
    </w:pPr>
  </w:style>
  <w:style w:type="character" w:styleId="42">
    <w:name w:val="Header Char"/>
    <w:basedOn w:val="699"/>
    <w:link w:val="41"/>
    <w:uiPriority w:val="99"/>
  </w:style>
  <w:style w:type="character" w:styleId="44">
    <w:name w:val="Footer Char"/>
    <w:basedOn w:val="699"/>
    <w:link w:val="708"/>
    <w:uiPriority w:val="99"/>
  </w:style>
  <w:style w:type="paragraph" w:styleId="45">
    <w:name w:val="Caption"/>
    <w:basedOn w:val="697"/>
    <w:next w:val="697"/>
    <w:uiPriority w:val="35"/>
    <w:semiHidden/>
    <w:unhideWhenUsed/>
    <w:qFormat/>
    <w:pPr>
      <w:spacing w:line="276" w:lineRule="auto"/>
    </w:pPr>
    <w:rPr>
      <w:b/>
      <w:bCs/>
      <w:color w:val="4f81bd" w:themeColor="accent1"/>
      <w:sz w:val="18"/>
      <w:szCs w:val="18"/>
    </w:rPr>
  </w:style>
  <w:style w:type="character" w:styleId="46">
    <w:name w:val="Caption Char"/>
    <w:basedOn w:val="45"/>
    <w:link w:val="708"/>
    <w:uiPriority w:val="99"/>
  </w:style>
  <w:style w:type="table" w:styleId="48">
    <w:name w:val="Table Grid Light"/>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9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9"/>
    <w:uiPriority w:val="99"/>
    <w:unhideWhenUsed/>
    <w:rPr>
      <w:vertAlign w:val="superscript"/>
    </w:rPr>
  </w:style>
  <w:style w:type="paragraph" w:styleId="177">
    <w:name w:val="endnote text"/>
    <w:basedOn w:val="69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9"/>
    <w:uiPriority w:val="99"/>
    <w:semiHidden/>
    <w:unhideWhenUsed/>
    <w:rPr>
      <w:vertAlign w:val="superscript"/>
    </w:rPr>
  </w:style>
  <w:style w:type="paragraph" w:styleId="180">
    <w:name w:val="toc 1"/>
    <w:basedOn w:val="697"/>
    <w:next w:val="697"/>
    <w:uiPriority w:val="39"/>
    <w:unhideWhenUsed/>
    <w:pPr>
      <w:ind w:left="0" w:right="0" w:firstLine="0"/>
      <w:spacing w:after="57"/>
    </w:pPr>
  </w:style>
  <w:style w:type="paragraph" w:styleId="181">
    <w:name w:val="toc 2"/>
    <w:basedOn w:val="697"/>
    <w:next w:val="697"/>
    <w:uiPriority w:val="39"/>
    <w:unhideWhenUsed/>
    <w:pPr>
      <w:ind w:left="283" w:right="0" w:firstLine="0"/>
      <w:spacing w:after="57"/>
    </w:pPr>
  </w:style>
  <w:style w:type="paragraph" w:styleId="182">
    <w:name w:val="toc 3"/>
    <w:basedOn w:val="697"/>
    <w:next w:val="697"/>
    <w:uiPriority w:val="39"/>
    <w:unhideWhenUsed/>
    <w:pPr>
      <w:ind w:left="567" w:right="0" w:firstLine="0"/>
      <w:spacing w:after="57"/>
    </w:pPr>
  </w:style>
  <w:style w:type="paragraph" w:styleId="183">
    <w:name w:val="toc 4"/>
    <w:basedOn w:val="697"/>
    <w:next w:val="697"/>
    <w:uiPriority w:val="39"/>
    <w:unhideWhenUsed/>
    <w:pPr>
      <w:ind w:left="850" w:right="0" w:firstLine="0"/>
      <w:spacing w:after="57"/>
    </w:pPr>
  </w:style>
  <w:style w:type="paragraph" w:styleId="184">
    <w:name w:val="toc 5"/>
    <w:basedOn w:val="697"/>
    <w:next w:val="697"/>
    <w:uiPriority w:val="39"/>
    <w:unhideWhenUsed/>
    <w:pPr>
      <w:ind w:left="1134" w:right="0" w:firstLine="0"/>
      <w:spacing w:after="57"/>
    </w:pPr>
  </w:style>
  <w:style w:type="paragraph" w:styleId="185">
    <w:name w:val="toc 6"/>
    <w:basedOn w:val="697"/>
    <w:next w:val="697"/>
    <w:uiPriority w:val="39"/>
    <w:unhideWhenUsed/>
    <w:pPr>
      <w:ind w:left="1417" w:right="0" w:firstLine="0"/>
      <w:spacing w:after="57"/>
    </w:pPr>
  </w:style>
  <w:style w:type="paragraph" w:styleId="186">
    <w:name w:val="toc 7"/>
    <w:basedOn w:val="697"/>
    <w:next w:val="697"/>
    <w:uiPriority w:val="39"/>
    <w:unhideWhenUsed/>
    <w:pPr>
      <w:ind w:left="1701" w:right="0" w:firstLine="0"/>
      <w:spacing w:after="57"/>
    </w:pPr>
  </w:style>
  <w:style w:type="paragraph" w:styleId="187">
    <w:name w:val="toc 8"/>
    <w:basedOn w:val="697"/>
    <w:next w:val="697"/>
    <w:uiPriority w:val="39"/>
    <w:unhideWhenUsed/>
    <w:pPr>
      <w:ind w:left="1984" w:right="0" w:firstLine="0"/>
      <w:spacing w:after="57"/>
    </w:pPr>
  </w:style>
  <w:style w:type="paragraph" w:styleId="188">
    <w:name w:val="toc 9"/>
    <w:basedOn w:val="697"/>
    <w:next w:val="69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7"/>
    <w:next w:val="697"/>
    <w:uiPriority w:val="99"/>
    <w:unhideWhenUsed/>
    <w:pPr>
      <w:spacing w:after="0" w:afterAutospacing="0"/>
    </w:pPr>
  </w:style>
  <w:style w:type="paragraph" w:styleId="697" w:default="1">
    <w:name w:val="Normal"/>
    <w:qFormat/>
    <w:rPr>
      <w:lang w:val="uk-UA"/>
    </w:rPr>
  </w:style>
  <w:style w:type="paragraph" w:styleId="698">
    <w:name w:val="Heading 2"/>
    <w:basedOn w:val="697"/>
    <w:link w:val="71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99" w:default="1">
    <w:name w:val="Default Paragraph Font"/>
    <w:uiPriority w:val="1"/>
    <w:semiHidden/>
    <w:unhideWhenUsed/>
  </w:style>
  <w:style w:type="table" w:styleId="700" w:default="1">
    <w:name w:val="Normal Table"/>
    <w:uiPriority w:val="99"/>
    <w:semiHidden/>
    <w:unhideWhenUsed/>
    <w:tblPr>
      <w:tblInd w:w="0" w:type="dxa"/>
      <w:tblCellMar>
        <w:left w:w="108" w:type="dxa"/>
        <w:top w:w="0" w:type="dxa"/>
        <w:right w:w="108" w:type="dxa"/>
        <w:bottom w:w="0" w:type="dxa"/>
      </w:tblCellMar>
    </w:tblPr>
  </w:style>
  <w:style w:type="numbering" w:styleId="701" w:default="1">
    <w:name w:val="No List"/>
    <w:uiPriority w:val="99"/>
    <w:semiHidden/>
    <w:unhideWhenUsed/>
  </w:style>
  <w:style w:type="paragraph" w:styleId="702">
    <w:name w:val="List Paragraph"/>
    <w:basedOn w:val="697"/>
    <w:link w:val="703"/>
    <w:qFormat/>
    <w:pPr>
      <w:contextualSpacing/>
      <w:ind w:left="720"/>
      <w:spacing w:after="200" w:line="276" w:lineRule="auto"/>
    </w:pPr>
    <w:rPr>
      <w:rFonts w:ascii="Calibri" w:hAnsi="Calibri" w:eastAsia="Calibri" w:cs="Calibri"/>
      <w:lang w:val="ru-RU" w:eastAsia="zh-CN"/>
    </w:rPr>
  </w:style>
  <w:style w:type="character" w:styleId="703" w:customStyle="1">
    <w:name w:val="Абзац списку Знак"/>
    <w:link w:val="702"/>
    <w:qFormat/>
    <w:rPr>
      <w:rFonts w:ascii="Calibri" w:hAnsi="Calibri" w:eastAsia="Calibri" w:cs="Calibri"/>
      <w:lang w:eastAsia="zh-CN"/>
    </w:rPr>
  </w:style>
  <w:style w:type="table" w:styleId="704">
    <w:name w:val="Table Grid"/>
    <w:basedOn w:val="70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5" w:customStyle="1">
    <w:name w:val="Сетка таблицы2"/>
    <w:basedOn w:val="700"/>
    <w:next w:val="70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6">
    <w:name w:val="Normal (Web)"/>
    <w:basedOn w:val="697"/>
    <w:link w:val="713"/>
    <w:unhideWhenUsed/>
    <w:qFormat/>
    <w:rPr>
      <w:rFonts w:ascii="Times New Roman" w:hAnsi="Times New Roman" w:cs="Times New Roman"/>
      <w:sz w:val="24"/>
      <w:szCs w:val="24"/>
    </w:rPr>
  </w:style>
  <w:style w:type="table" w:styleId="707" w:customStyle="1">
    <w:name w:val="Сетка таблицы1"/>
    <w:basedOn w:val="700"/>
    <w:next w:val="70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8">
    <w:name w:val="Footer"/>
    <w:basedOn w:val="697"/>
    <w:link w:val="70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09" w:customStyle="1">
    <w:name w:val="Нижній колонтитул Знак"/>
    <w:basedOn w:val="699"/>
    <w:link w:val="708"/>
    <w:uiPriority w:val="99"/>
    <w:rPr>
      <w:rFonts w:ascii="Calibri" w:hAnsi="Calibri" w:eastAsia="Calibri" w:cs="Calibri"/>
      <w:lang w:eastAsia="zh-CN"/>
    </w:rPr>
  </w:style>
  <w:style w:type="paragraph" w:styleId="71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1">
    <w:name w:val="Hyperlink"/>
    <w:basedOn w:val="699"/>
    <w:uiPriority w:val="99"/>
    <w:unhideWhenUsed/>
    <w:rPr>
      <w:color w:val="0563c1" w:themeColor="hyperlink"/>
      <w:u w:val="single"/>
    </w:rPr>
  </w:style>
  <w:style w:type="character" w:styleId="712" w:customStyle="1">
    <w:name w:val="xfm_93972720"/>
    <w:basedOn w:val="699"/>
  </w:style>
  <w:style w:type="character" w:styleId="713" w:customStyle="1">
    <w:name w:val="Звичайний (веб) Знак"/>
    <w:link w:val="706"/>
    <w:qFormat/>
    <w:rPr>
      <w:rFonts w:ascii="Times New Roman" w:hAnsi="Times New Roman" w:cs="Times New Roman"/>
      <w:sz w:val="24"/>
      <w:szCs w:val="24"/>
      <w:lang w:val="uk-UA"/>
    </w:rPr>
  </w:style>
  <w:style w:type="paragraph" w:styleId="714">
    <w:name w:val="Body Text 2"/>
    <w:basedOn w:val="697"/>
    <w:link w:val="715"/>
    <w:pPr>
      <w:spacing w:after="0" w:line="240" w:lineRule="auto"/>
    </w:pPr>
    <w:rPr>
      <w:rFonts w:ascii="Times New Roman" w:hAnsi="Times New Roman" w:eastAsia="Times New Roman" w:cs="Times New Roman"/>
      <w:sz w:val="28"/>
      <w:szCs w:val="20"/>
      <w:lang w:val="ru-RU" w:eastAsia="ru-RU"/>
    </w:rPr>
  </w:style>
  <w:style w:type="character" w:styleId="715" w:customStyle="1">
    <w:name w:val="Основний текст 2 Знак"/>
    <w:basedOn w:val="699"/>
    <w:link w:val="714"/>
    <w:rPr>
      <w:rFonts w:ascii="Times New Roman" w:hAnsi="Times New Roman" w:eastAsia="Times New Roman" w:cs="Times New Roman"/>
      <w:sz w:val="28"/>
      <w:szCs w:val="20"/>
      <w:lang w:eastAsia="ru-RU"/>
    </w:rPr>
  </w:style>
  <w:style w:type="paragraph" w:styleId="71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17" w:customStyle="1">
    <w:name w:val="Заголовок 2 Знак"/>
    <w:basedOn w:val="699"/>
    <w:link w:val="698"/>
    <w:uiPriority w:val="9"/>
    <w:rPr>
      <w:rFonts w:ascii="Times New Roman" w:hAnsi="Times New Roman" w:eastAsia="Times New Roman" w:cs="Times New Roman"/>
      <w:b/>
      <w:bCs/>
      <w:sz w:val="36"/>
      <w:szCs w:val="36"/>
      <w:lang w:val="uk-UA" w:eastAsia="uk-UA"/>
    </w:rPr>
  </w:style>
  <w:style w:type="paragraph" w:styleId="718">
    <w:name w:val="No Spacing"/>
    <w:link w:val="719"/>
    <w:uiPriority w:val="1"/>
    <w:qFormat/>
    <w:pPr>
      <w:spacing w:after="0" w:line="240" w:lineRule="auto"/>
    </w:pPr>
    <w:rPr>
      <w:rFonts w:ascii="Calibri" w:hAnsi="Calibri" w:eastAsia="Calibri" w:cs="Times New Roman"/>
      <w:lang w:val="uk-UA"/>
    </w:rPr>
  </w:style>
  <w:style w:type="character" w:styleId="719" w:customStyle="1">
    <w:name w:val="Без інтервалів Знак"/>
    <w:basedOn w:val="699"/>
    <w:link w:val="718"/>
    <w:uiPriority w:val="1"/>
    <w:rPr>
      <w:rFonts w:ascii="Calibri" w:hAnsi="Calibri" w:eastAsia="Calibri" w:cs="Times New Roman"/>
      <w:lang w:val="uk-UA"/>
    </w:rPr>
  </w:style>
  <w:style w:type="character" w:styleId="720" w:customStyle="1">
    <w:name w:val="Другое_"/>
    <w:basedOn w:val="699"/>
    <w:link w:val="721"/>
    <w:rPr>
      <w:rFonts w:ascii="Calibri" w:hAnsi="Calibri" w:eastAsia="Calibri" w:cs="Calibri"/>
      <w:sz w:val="20"/>
      <w:szCs w:val="20"/>
    </w:rPr>
  </w:style>
  <w:style w:type="paragraph" w:styleId="721" w:customStyle="1">
    <w:name w:val="Другое"/>
    <w:basedOn w:val="697"/>
    <w:link w:val="720"/>
    <w:qFormat/>
    <w:pPr>
      <w:spacing w:after="0" w:line="240" w:lineRule="auto"/>
      <w:widowControl w:val="off"/>
    </w:pPr>
    <w:rPr>
      <w:rFonts w:ascii="Calibri" w:hAnsi="Calibri" w:eastAsia="Calibri" w:cs="Calibri"/>
      <w:sz w:val="20"/>
      <w:szCs w:val="20"/>
      <w:lang w:val="ru-RU"/>
    </w:rPr>
  </w:style>
  <w:style w:type="paragraph" w:styleId="72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23" w:customStyle="1">
    <w:name w:val="Основной текст (2)_"/>
    <w:basedOn w:val="699"/>
    <w:link w:val="724"/>
    <w:rPr>
      <w:rFonts w:eastAsia="Times New Roman" w:cs="Times New Roman"/>
      <w:shd w:val="clear" w:color="auto" w:fill="ffffff"/>
    </w:rPr>
  </w:style>
  <w:style w:type="paragraph" w:styleId="724" w:customStyle="1">
    <w:name w:val="Основной текст (2)"/>
    <w:basedOn w:val="697"/>
    <w:link w:val="723"/>
    <w:pPr>
      <w:ind w:hanging="700"/>
      <w:jc w:val="both"/>
      <w:spacing w:before="240" w:after="480" w:line="0" w:lineRule="atLeast"/>
      <w:shd w:val="clear" w:color="auto" w:fill="ffffff"/>
      <w:widowControl w:val="off"/>
    </w:pPr>
    <w:rPr>
      <w:rFonts w:eastAsia="Times New Roman" w:cs="Times New Roman"/>
      <w:lang w:val="ru-RU"/>
    </w:rPr>
  </w:style>
  <w:style w:type="character" w:styleId="725" w:customStyle="1">
    <w:name w:val="Текст у виносці Знак"/>
    <w:basedOn w:val="699"/>
    <w:link w:val="726"/>
    <w:uiPriority w:val="99"/>
    <w:semiHidden/>
    <w:rPr>
      <w:rFonts w:ascii="Segoe UI" w:hAnsi="Segoe UI" w:eastAsia="Times New Roman" w:cs="Segoe UI"/>
      <w:sz w:val="18"/>
      <w:szCs w:val="18"/>
      <w:lang w:eastAsia="ru-RU"/>
    </w:rPr>
  </w:style>
  <w:style w:type="paragraph" w:styleId="726">
    <w:name w:val="Balloon Text"/>
    <w:basedOn w:val="697"/>
    <w:link w:val="72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27" w:customStyle="1">
    <w:name w:val="Текст у виносці Знак1"/>
    <w:basedOn w:val="699"/>
    <w:uiPriority w:val="99"/>
    <w:semiHidden/>
    <w:rPr>
      <w:rFonts w:ascii="Segoe UI" w:hAnsi="Segoe UI" w:cs="Segoe UI"/>
      <w:sz w:val="18"/>
      <w:szCs w:val="18"/>
      <w:lang w:val="uk-UA"/>
    </w:rPr>
  </w:style>
  <w:style w:type="character" w:styleId="728" w:customStyle="1">
    <w:name w:val="T23"/>
    <w:rPr>
      <w:rFonts w:hint="default" w:ascii="Times New Roman" w:hAnsi="Times New Roman" w:eastAsia="Times New Roman1"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143</cp:revision>
  <dcterms:created xsi:type="dcterms:W3CDTF">2022-11-01T12:47:00Z</dcterms:created>
  <dcterms:modified xsi:type="dcterms:W3CDTF">2023-09-14T08:08:32Z</dcterms:modified>
</cp:coreProperties>
</file>