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організації та надання доступу до каналів передачі даних за код ДК 021:2015 64210000-1 «</w:t>
      </w:r>
      <w:r>
        <w:rPr>
          <w:b w:val="0"/>
          <w:bCs w:val="0"/>
          <w:sz w:val="24"/>
          <w:szCs w:val="24"/>
        </w:rPr>
        <w:t xml:space="preserve">Послуги телефонного зв’язку та передачі даних</w:t>
      </w:r>
      <w:r>
        <w:rPr>
          <w:b w:val="0"/>
          <w:bCs w:val="0"/>
          <w:spacing w:val="1"/>
          <w:sz w:val="24"/>
          <w:szCs w:val="24"/>
        </w:rPr>
        <w:t xml:space="preserve">»</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3360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організації та надання доступу до каналів передачі даних за код ДК 021:2015 64210000-1 «</w:t>
      </w:r>
      <w:r>
        <w:rPr>
          <w:rFonts w:ascii="Times New Roman" w:hAnsi="Times New Roman" w:cs="Times New Roman"/>
          <w:sz w:val="24"/>
          <w:szCs w:val="24"/>
        </w:rPr>
        <w:t xml:space="preserve">Послуги телефонного зв’язку та передачі даних</w:t>
      </w:r>
      <w:r>
        <w:rPr>
          <w:rFonts w:ascii="Times New Roman" w:hAnsi="Times New Roman" w:cs="Times New Roman"/>
          <w:spacing w:val="1"/>
          <w:sz w:val="24"/>
          <w:szCs w:val="24"/>
        </w:rPr>
        <w:t xml:space="preserve">»</w:t>
      </w:r>
      <w:r>
        <w:rPr>
          <w:rFonts w:ascii="Times New Roman" w:hAnsi="Times New Roman" w:cs="Times New Roman"/>
          <w:color w:val="000000"/>
          <w:sz w:val="24"/>
          <w:szCs w:val="24"/>
        </w:rPr>
        <w:t xml:space="preserve">.</w:t>
      </w:r>
      <w:r/>
    </w:p>
    <w:p>
      <w:pPr>
        <w:ind w:right="-1"/>
        <w:jc w:val="both"/>
        <w:spacing w:after="0" w:line="240" w:lineRule="auto"/>
        <w:widowControl w:val="off"/>
        <w:rPr>
          <w:rFonts w:ascii="Times New Roman" w:hAnsi="Times New Roman"/>
          <w:sz w:val="24"/>
          <w:szCs w:val="24"/>
        </w:rPr>
      </w:pPr>
      <w:r>
        <w:rPr>
          <w:rFonts w:ascii="Times New Roman" w:hAnsi="Times New Roman"/>
          <w:sz w:val="24"/>
          <w:szCs w:val="24"/>
        </w:rPr>
      </w:r>
      <w:r/>
    </w:p>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Перелік каналів передачі даних підключення (очікувана потреба станом на 02.09.2024):</w:t>
      </w:r>
      <w:r/>
    </w:p>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r>
      <w:r/>
    </w:p>
    <w:tbl>
      <w:tblPr>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6"/>
        <w:gridCol w:w="5292"/>
        <w:gridCol w:w="1275"/>
        <w:gridCol w:w="1275"/>
        <w:gridCol w:w="1275"/>
      </w:tblGrid>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зп</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Регіон/Швидкість підключення</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каналів</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місяців</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Кількість послуг</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bookmarkStart w:id="0" w:name="_Hlk156823506"/>
            <w:r>
              <w:rPr>
                <w:rFonts w:ascii="Times New Roman" w:hAnsi="Times New Roman" w:cs="Times New Roman"/>
                <w:color w:val="000000" w:themeColor="text1"/>
                <w:sz w:val="24"/>
                <w:szCs w:val="24"/>
              </w:rPr>
              <w:t xml:space="preserve">1</w:t>
            </w:r>
            <w:r/>
          </w:p>
        </w:tc>
        <w:tc>
          <w:tcPr>
            <w:gridSpan w:val="4"/>
            <w:tcBorders>
              <w:top w:val="single" w:color="auto" w:sz="4" w:space="0"/>
              <w:left w:val="single" w:color="auto" w:sz="4" w:space="0"/>
              <w:bottom w:val="single" w:color="auto" w:sz="4" w:space="0"/>
              <w:right w:val="single" w:color="auto" w:sz="4" w:space="0"/>
            </w:tcBorders>
            <w:tcW w:w="915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Одеська обл.</w:t>
            </w:r>
            <w:bookmarkEnd w:id="0"/>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1Гб/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(112)</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w:t>
            </w:r>
            <w:r/>
          </w:p>
        </w:tc>
        <w:tc>
          <w:tcPr>
            <w:gridSpan w:val="4"/>
            <w:tcBorders>
              <w:top w:val="single" w:color="auto" w:sz="4" w:space="0"/>
              <w:left w:val="single" w:color="auto" w:sz="4" w:space="0"/>
              <w:bottom w:val="single" w:color="auto" w:sz="4" w:space="0"/>
              <w:right w:val="single" w:color="auto" w:sz="4" w:space="0"/>
            </w:tcBorders>
            <w:tcW w:w="915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Миколаївська обл.</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w:t>
            </w:r>
            <w:r/>
          </w:p>
        </w:tc>
        <w:tc>
          <w:tcPr>
            <w:gridSpan w:val="4"/>
            <w:tcBorders>
              <w:top w:val="single" w:color="auto" w:sz="4" w:space="0"/>
              <w:left w:val="single" w:color="auto" w:sz="4" w:space="0"/>
              <w:bottom w:val="single" w:color="auto" w:sz="4" w:space="0"/>
              <w:right w:val="single" w:color="auto" w:sz="4" w:space="0"/>
            </w:tcBorders>
            <w:tcW w:w="915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Херсонська обл.</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gridSpan w:val="4"/>
            <w:tcBorders>
              <w:top w:val="single" w:color="auto" w:sz="4" w:space="0"/>
              <w:left w:val="single" w:color="auto" w:sz="4" w:space="0"/>
              <w:bottom w:val="single" w:color="auto" w:sz="4" w:space="0"/>
              <w:right w:val="single" w:color="auto" w:sz="4" w:space="0"/>
            </w:tcBorders>
            <w:tcW w:w="9153"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Кіровоградська обл.</w:t>
            </w:r>
            <w:r/>
          </w:p>
        </w:tc>
      </w:tr>
      <w:tr>
        <w:trPr>
          <w:trHeight w:val="122"/>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(101)</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rHeight w:val="122"/>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(102)</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r>
        <w:trPr>
          <w:trHeight w:val="122"/>
        </w:trPr>
        <w:tc>
          <w:tcPr>
            <w:tcBorders>
              <w:top w:val="single" w:color="auto" w:sz="4" w:space="0"/>
              <w:left w:val="single" w:color="auto" w:sz="4" w:space="0"/>
              <w:bottom w:val="single" w:color="auto" w:sz="4" w:space="0"/>
              <w:right w:val="single" w:color="auto" w:sz="4" w:space="0"/>
            </w:tcBorders>
            <w:tcW w:w="480"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4.3</w:t>
            </w:r>
            <w:r/>
          </w:p>
        </w:tc>
        <w:tc>
          <w:tcPr>
            <w:tcBorders>
              <w:top w:val="single" w:color="auto" w:sz="4" w:space="0"/>
              <w:left w:val="single" w:color="auto" w:sz="4" w:space="0"/>
              <w:bottom w:val="single" w:color="auto" w:sz="4" w:space="0"/>
              <w:right w:val="single" w:color="auto" w:sz="4" w:space="0"/>
            </w:tcBorders>
            <w:tcW w:w="5461"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Вузли зі швидкістю підключення 5Мб/</w:t>
            </w:r>
            <w:r>
              <w:rPr>
                <w:rFonts w:ascii="Times New Roman" w:hAnsi="Times New Roman" w:cs="Times New Roman"/>
                <w:color w:val="000000" w:themeColor="text1"/>
                <w:sz w:val="24"/>
                <w:szCs w:val="24"/>
              </w:rPr>
              <w:t xml:space="preserve">сек</w:t>
            </w:r>
            <w:r>
              <w:rPr>
                <w:rFonts w:ascii="Times New Roman" w:hAnsi="Times New Roman" w:cs="Times New Roman"/>
                <w:color w:val="000000" w:themeColor="text1"/>
                <w:sz w:val="24"/>
                <w:szCs w:val="24"/>
              </w:rPr>
              <w:t xml:space="preserve"> (103)</w:t>
            </w:r>
            <w:r/>
          </w:p>
        </w:tc>
        <w:tc>
          <w:tcPr>
            <w:tcBorders>
              <w:top w:val="single" w:color="auto" w:sz="4" w:space="0"/>
              <w:left w:val="single" w:color="auto" w:sz="4" w:space="0"/>
              <w:bottom w:val="single" w:color="auto" w:sz="4" w:space="0"/>
              <w:right w:val="single" w:color="auto" w:sz="4" w:space="0"/>
            </w:tcBorders>
            <w:tcW w:w="1275"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w:t>
            </w:r>
            <w:r/>
          </w:p>
        </w:tc>
        <w:tc>
          <w:tcPr>
            <w:tcBorders>
              <w:top w:val="single" w:color="auto" w:sz="4" w:space="0"/>
              <w:left w:val="single" w:color="auto" w:sz="4" w:space="0"/>
              <w:bottom w:val="single" w:color="auto" w:sz="4" w:space="0"/>
              <w:right w:val="single" w:color="auto" w:sz="4" w:space="0"/>
            </w:tcBorders>
            <w:tcW w:w="1274"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c>
          <w:tcPr>
            <w:tcBorders>
              <w:top w:val="single" w:color="auto" w:sz="4" w:space="0"/>
              <w:left w:val="single" w:color="auto" w:sz="4" w:space="0"/>
              <w:bottom w:val="single" w:color="auto" w:sz="4" w:space="0"/>
              <w:right w:val="single" w:color="auto" w:sz="4" w:space="0"/>
            </w:tcBorders>
            <w:tcW w:w="1143" w:type="dxa"/>
            <w:textDirection w:val="lrTb"/>
            <w:noWrap w:val="false"/>
          </w:tcPr>
          <w:p>
            <w:pPr>
              <w:jc w:val="cente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w:t>
            </w:r>
            <w:r/>
          </w:p>
        </w:tc>
      </w:tr>
    </w:tbl>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ТЕХНІЧНІ ВИМОГИ</w:t>
      </w:r>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3"/>
        <w:gridCol w:w="5639"/>
        <w:gridCol w:w="1990"/>
        <w:gridCol w:w="1554"/>
      </w:tblGrid>
      <w:tr>
        <w:trPr>
          <w:jc w:val="center"/>
          <w:trHeight w:val="840"/>
        </w:trPr>
        <w:tc>
          <w:tcPr>
            <w:tcW w:w="59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з/п</w:t>
            </w:r>
            <w:r/>
          </w:p>
        </w:tc>
        <w:tc>
          <w:tcPr>
            <w:tcW w:w="56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Найменування послуги</w:t>
            </w:r>
            <w:r/>
          </w:p>
        </w:tc>
        <w:tc>
          <w:tcPr>
            <w:tcW w:w="199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Одиниця виміру</w:t>
            </w:r>
            <w:r/>
          </w:p>
        </w:tc>
        <w:tc>
          <w:tcPr>
            <w:tcW w:w="15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w:t>
            </w:r>
            <w:r/>
          </w:p>
        </w:tc>
      </w:tr>
      <w:tr>
        <w:trPr>
          <w:jc w:val="center"/>
          <w:trHeight w:val="555"/>
        </w:trPr>
        <w:tc>
          <w:tcPr>
            <w:tcW w:w="59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W w:w="56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Використання каналів передачі даних</w:t>
            </w:r>
            <w:r/>
          </w:p>
        </w:tc>
        <w:tc>
          <w:tcPr>
            <w:tcW w:w="199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5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w:t>
            </w:r>
            <w:r/>
          </w:p>
        </w:tc>
      </w:tr>
    </w:tbl>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8"/>
        <w:ind w:left="0"/>
        <w:jc w:val="center"/>
        <w:spacing w:before="120"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Технічні та якісні характеристики</w:t>
      </w:r>
      <w:r/>
    </w:p>
    <w:p>
      <w:pPr>
        <w:pStyle w:val="785"/>
        <w:numPr>
          <w:ilvl w:val="0"/>
          <w:numId w:val="48"/>
        </w:numPr>
        <w:jc w:val="both"/>
        <w:spacing w:before="0" w:beforeAutospacing="0" w:after="0" w:afterAutospacing="0"/>
        <w:shd w:val="clear" w:color="auto" w:fill="ffffff"/>
        <w:rPr>
          <w:lang w:val="uk-UA"/>
        </w:rPr>
      </w:pPr>
      <w:r>
        <w:rPr>
          <w:lang w:val="uk-UA"/>
        </w:rPr>
        <w:t xml:space="preserve">Обсяг надання послуги:</w:t>
      </w:r>
      <w:r/>
    </w:p>
    <w:p>
      <w:pPr>
        <w:pStyle w:val="785"/>
        <w:numPr>
          <w:ilvl w:val="0"/>
          <w:numId w:val="49"/>
        </w:numPr>
        <w:ind w:left="0" w:firstLine="567"/>
        <w:jc w:val="both"/>
        <w:spacing w:before="0" w:beforeAutospacing="0" w:after="0" w:afterAutospacing="0"/>
        <w:shd w:val="clear" w:color="auto" w:fill="ffffff"/>
        <w:rPr>
          <w:lang w:val="uk-UA"/>
        </w:rPr>
      </w:pPr>
      <w:r>
        <w:t xml:space="preserve">Організація</w:t>
      </w:r>
      <w:r>
        <w:rPr>
          <w:lang w:val="uk-UA"/>
        </w:rPr>
        <w:t xml:space="preserve"> </w:t>
      </w:r>
      <w:r>
        <w:t xml:space="preserve">канал</w:t>
      </w:r>
      <w:r>
        <w:rPr>
          <w:lang w:val="uk-UA"/>
        </w:rPr>
        <w:t xml:space="preserve">ів</w:t>
      </w:r>
      <w:r>
        <w:t xml:space="preserve"> </w:t>
      </w:r>
      <w:r>
        <w:t xml:space="preserve">передачі</w:t>
      </w:r>
      <w:r>
        <w:t xml:space="preserve"> </w:t>
      </w:r>
      <w:r>
        <w:t xml:space="preserve">даних</w:t>
      </w:r>
      <w:r>
        <w:t xml:space="preserve"> на </w:t>
      </w:r>
      <w:r>
        <w:t xml:space="preserve">швидкості</w:t>
      </w:r>
      <w:r>
        <w:t xml:space="preserve"> 5 </w:t>
      </w:r>
      <w:r>
        <w:rPr>
          <w:color w:val="000000"/>
        </w:rPr>
        <w:t xml:space="preserve">Мбіт</w:t>
      </w:r>
      <w:r>
        <w:rPr>
          <w:color w:val="000000"/>
        </w:rPr>
        <w:t xml:space="preserve">/с</w:t>
      </w:r>
      <w:r>
        <w:t xml:space="preserve"> </w:t>
      </w:r>
      <w:r>
        <w:t xml:space="preserve">між</w:t>
      </w:r>
      <w:r>
        <w:t xml:space="preserve"> </w:t>
      </w:r>
      <w:r>
        <w:t xml:space="preserve">будівлями</w:t>
      </w:r>
      <w:r>
        <w:t xml:space="preserve"> </w:t>
      </w:r>
      <w:r>
        <w:rPr>
          <w:lang w:val="uk-UA"/>
        </w:rPr>
        <w:t xml:space="preserve">– 11 шт.</w:t>
      </w:r>
      <w:r>
        <w:t xml:space="preserve">, з </w:t>
      </w:r>
      <w:r>
        <w:t xml:space="preserve">подальшим</w:t>
      </w:r>
      <w:r>
        <w:t xml:space="preserve"> </w:t>
      </w:r>
      <w:r>
        <w:t xml:space="preserve">наданням</w:t>
      </w:r>
      <w:r>
        <w:t xml:space="preserve"> у </w:t>
      </w:r>
      <w:r>
        <w:t xml:space="preserve">користування</w:t>
      </w:r>
      <w:r>
        <w:t xml:space="preserve"> ц</w:t>
      </w:r>
      <w:r>
        <w:rPr>
          <w:lang w:val="uk-UA"/>
        </w:rPr>
        <w:t xml:space="preserve">их</w:t>
      </w:r>
      <w:r>
        <w:t xml:space="preserve"> канал</w:t>
      </w:r>
      <w:r>
        <w:rPr>
          <w:lang w:val="uk-UA"/>
        </w:rPr>
        <w:t xml:space="preserve">ів</w:t>
      </w:r>
      <w:r>
        <w:t xml:space="preserve"> </w:t>
      </w:r>
      <w:r>
        <w:t xml:space="preserve">передачі</w:t>
      </w:r>
      <w:r>
        <w:t xml:space="preserve"> </w:t>
      </w:r>
      <w:r>
        <w:t xml:space="preserve">даних</w:t>
      </w:r>
      <w:r>
        <w:rPr>
          <w:lang w:val="uk-UA"/>
        </w:rPr>
        <w:t xml:space="preserve">;</w:t>
      </w:r>
      <w:r/>
    </w:p>
    <w:p>
      <w:pPr>
        <w:pStyle w:val="785"/>
        <w:numPr>
          <w:ilvl w:val="0"/>
          <w:numId w:val="49"/>
        </w:numPr>
        <w:ind w:left="0" w:firstLine="567"/>
        <w:jc w:val="both"/>
        <w:spacing w:before="0" w:beforeAutospacing="0" w:after="0" w:afterAutospacing="0"/>
        <w:shd w:val="clear" w:color="auto" w:fill="ffffff"/>
        <w:rPr>
          <w:lang w:val="uk-UA"/>
        </w:rPr>
      </w:pPr>
      <w:r>
        <w:t xml:space="preserve">Організація</w:t>
      </w:r>
      <w:r>
        <w:rPr>
          <w:lang w:val="uk-UA"/>
        </w:rPr>
        <w:t xml:space="preserve"> </w:t>
      </w:r>
      <w:r>
        <w:t xml:space="preserve">канал</w:t>
      </w:r>
      <w:r>
        <w:rPr>
          <w:lang w:val="uk-UA"/>
        </w:rPr>
        <w:t xml:space="preserve">ів</w:t>
      </w:r>
      <w:r>
        <w:t xml:space="preserve"> </w:t>
      </w:r>
      <w:r>
        <w:t xml:space="preserve">передачі</w:t>
      </w:r>
      <w:r>
        <w:t xml:space="preserve"> </w:t>
      </w:r>
      <w:r>
        <w:t xml:space="preserve">даних</w:t>
      </w:r>
      <w:r>
        <w:t xml:space="preserve"> на </w:t>
      </w:r>
      <w:r>
        <w:t xml:space="preserve">швидкості</w:t>
      </w:r>
      <w:r>
        <w:t xml:space="preserve"> </w:t>
      </w:r>
      <w:r>
        <w:rPr>
          <w:lang w:val="uk-UA"/>
        </w:rPr>
        <w:t xml:space="preserve">1</w:t>
      </w:r>
      <w:r>
        <w:t xml:space="preserve"> </w:t>
      </w:r>
      <w:r>
        <w:rPr>
          <w:color w:val="000000"/>
          <w:lang w:val="uk-UA"/>
        </w:rPr>
        <w:t xml:space="preserve">Г</w:t>
      </w:r>
      <w:r>
        <w:rPr>
          <w:color w:val="000000"/>
        </w:rPr>
        <w:t xml:space="preserve">біт</w:t>
      </w:r>
      <w:r>
        <w:rPr>
          <w:color w:val="000000"/>
        </w:rPr>
        <w:t xml:space="preserve">/с</w:t>
      </w:r>
      <w:r>
        <w:t xml:space="preserve"> </w:t>
      </w:r>
      <w:r>
        <w:t xml:space="preserve">між</w:t>
      </w:r>
      <w:r>
        <w:t xml:space="preserve"> </w:t>
      </w:r>
      <w:r>
        <w:t xml:space="preserve">будівлями</w:t>
      </w:r>
      <w:r>
        <w:t xml:space="preserve"> </w:t>
      </w:r>
      <w:r>
        <w:rPr>
          <w:lang w:val="uk-UA"/>
        </w:rPr>
        <w:t xml:space="preserve">– 1 шт.</w:t>
      </w:r>
      <w:r>
        <w:t xml:space="preserve">, з </w:t>
      </w:r>
      <w:r>
        <w:t xml:space="preserve">подальшим</w:t>
      </w:r>
      <w:r>
        <w:t xml:space="preserve"> </w:t>
      </w:r>
      <w:r>
        <w:t xml:space="preserve">наданням</w:t>
      </w:r>
      <w:r>
        <w:t xml:space="preserve"> у </w:t>
      </w:r>
      <w:r>
        <w:t xml:space="preserve">користування</w:t>
      </w:r>
      <w:r>
        <w:t xml:space="preserve"> ц</w:t>
      </w:r>
      <w:r>
        <w:rPr>
          <w:lang w:val="uk-UA"/>
        </w:rPr>
        <w:t xml:space="preserve">их</w:t>
      </w:r>
      <w:r>
        <w:t xml:space="preserve"> канал</w:t>
      </w:r>
      <w:r>
        <w:rPr>
          <w:lang w:val="uk-UA"/>
        </w:rPr>
        <w:t xml:space="preserve">ів</w:t>
      </w:r>
      <w:r>
        <w:t xml:space="preserve"> </w:t>
      </w:r>
      <w:r>
        <w:t xml:space="preserve">передачі</w:t>
      </w:r>
      <w:r>
        <w:t xml:space="preserve"> </w:t>
      </w:r>
      <w:r>
        <w:t xml:space="preserve">даних</w:t>
      </w:r>
      <w:r>
        <w:rPr>
          <w:lang w:val="uk-UA"/>
        </w:rPr>
        <w:t xml:space="preserve">;</w:t>
      </w:r>
      <w:r/>
    </w:p>
    <w:p>
      <w:pPr>
        <w:pStyle w:val="785"/>
        <w:ind w:left="567"/>
        <w:jc w:val="both"/>
        <w:spacing w:before="0" w:beforeAutospacing="0" w:after="0" w:afterAutospacing="0"/>
        <w:shd w:val="clear" w:color="auto" w:fill="ffffff"/>
        <w:rPr>
          <w:lang w:val="uk-UA"/>
        </w:rPr>
      </w:pPr>
      <w:r>
        <w:rPr>
          <w:lang w:val="uk-UA"/>
        </w:rPr>
      </w:r>
      <w:r/>
    </w:p>
    <w:p>
      <w:pPr>
        <w:pStyle w:val="748"/>
        <w:numPr>
          <w:ilvl w:val="0"/>
          <w:numId w:val="47"/>
        </w:numPr>
        <w:contextualSpacing w:val="0"/>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доступність каналів передачі даних для користування</w:t>
      </w:r>
      <w:r>
        <w:rPr>
          <w:rFonts w:ascii="Times New Roman" w:hAnsi="Times New Roman" w:cs="Times New Roman"/>
          <w:sz w:val="24"/>
          <w:szCs w:val="24"/>
          <w:lang w:val="uk-UA"/>
        </w:rPr>
        <w:t xml:space="preserve">;</w:t>
      </w:r>
      <w:r/>
    </w:p>
    <w:p>
      <w:pPr>
        <w:pStyle w:val="748"/>
        <w:numPr>
          <w:ilvl w:val="0"/>
          <w:numId w:val="47"/>
        </w:numPr>
        <w:contextualSpacing w:val="0"/>
        <w:ind w:left="0" w:firstLine="567"/>
        <w:jc w:val="both"/>
        <w:spacing w:after="0" w:line="240" w:lineRule="auto"/>
        <w:tabs>
          <w:tab w:val="left" w:pos="567" w:leader="none"/>
          <w:tab w:val="left" w:pos="851" w:leader="none"/>
        </w:tabs>
        <w:rPr>
          <w:rFonts w:ascii="Times New Roman" w:hAnsi="Times New Roman" w:cs="Times New Roman"/>
          <w:sz w:val="24"/>
          <w:szCs w:val="24"/>
          <w:lang w:val="uk-UA"/>
        </w:rPr>
      </w:pPr>
      <w:r>
        <w:rPr>
          <w:rFonts w:ascii="Times New Roman" w:hAnsi="Times New Roman" w:cs="Times New Roman"/>
          <w:bCs/>
          <w:sz w:val="24"/>
          <w:szCs w:val="24"/>
          <w:lang w:val="uk-UA"/>
        </w:rPr>
        <w:t xml:space="preserve">цілодобова технічна підтримка користувачів щодо користування каналами передачі даних</w:t>
      </w:r>
      <w:r>
        <w:rPr>
          <w:rFonts w:ascii="Times New Roman" w:hAnsi="Times New Roman" w:cs="Times New Roman"/>
          <w:color w:val="000000"/>
          <w:sz w:val="24"/>
          <w:szCs w:val="24"/>
          <w:lang w:val="uk-UA"/>
        </w:rPr>
        <w:t xml:space="preserve">;</w:t>
      </w:r>
      <w:r/>
    </w:p>
    <w:p>
      <w:pPr>
        <w:pStyle w:val="748"/>
        <w:numPr>
          <w:ilvl w:val="0"/>
          <w:numId w:val="47"/>
        </w:numPr>
        <w:contextualSpacing w:val="0"/>
        <w:ind w:left="0" w:firstLine="567"/>
        <w:jc w:val="both"/>
        <w:spacing w:after="0" w:line="240" w:lineRule="auto"/>
        <w:tabs>
          <w:tab w:val="left" w:pos="851"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оперативне усунення технічних проблем зі сторони Виконавця, що призводять до неможливості надання послуги</w:t>
      </w:r>
      <w:r>
        <w:rPr>
          <w:rFonts w:ascii="Times New Roman" w:hAnsi="Times New Roman" w:cs="Times New Roman"/>
          <w:color w:val="000000"/>
          <w:sz w:val="24"/>
          <w:szCs w:val="24"/>
          <w:lang w:val="uk-UA"/>
        </w:rPr>
        <w:t xml:space="preserve">.</w:t>
      </w:r>
      <w:r/>
    </w:p>
    <w:p>
      <w:pPr>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sz w:val="24"/>
          <w:szCs w:val="24"/>
        </w:rPr>
      </w:r>
      <w:r/>
    </w:p>
    <w:tbl>
      <w:tblPr>
        <w:tblStyle w:val="786"/>
        <w:tblW w:w="9497" w:type="dxa"/>
        <w:tblInd w:w="137" w:type="dxa"/>
        <w:tblCellMar>
          <w:left w:w="31" w:type="dxa"/>
          <w:top w:w="89" w:type="dxa"/>
          <w:right w:w="57" w:type="dxa"/>
        </w:tblCellMar>
        <w:tblLook w:val="04A0" w:firstRow="1" w:lastRow="0" w:firstColumn="1" w:lastColumn="0" w:noHBand="0" w:noVBand="1"/>
      </w:tblPr>
      <w:tblGrid>
        <w:gridCol w:w="992"/>
        <w:gridCol w:w="6379"/>
        <w:gridCol w:w="2126"/>
      </w:tblGrid>
      <w:tr>
        <w:trPr>
          <w:trHeight w:val="88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ind w:left="56" w:right="33" w:hanging="2"/>
              <w:jc w:val="center"/>
              <w:rPr>
                <w:rFonts w:ascii="Times New Roman" w:hAnsi="Times New Roman" w:cs="Times New Roman"/>
                <w:sz w:val="24"/>
                <w:szCs w:val="24"/>
              </w:rPr>
            </w:pPr>
            <w:r>
              <w:rPr>
                <w:rFonts w:ascii="Times New Roman" w:hAnsi="Times New Roman" w:cs="Times New Roman"/>
                <w:b/>
                <w:sz w:val="24"/>
                <w:szCs w:val="24"/>
              </w:rPr>
              <w:t xml:space="preserve">№ з/ п </w:t>
            </w:r>
            <w:r/>
          </w:p>
        </w:tc>
        <w:tc>
          <w:tcPr>
            <w:gridSpan w:val="2"/>
            <w:tcBorders>
              <w:top w:val="single" w:color="000000" w:sz="4" w:space="0"/>
              <w:left w:val="single" w:color="000000" w:sz="4" w:space="0"/>
              <w:right w:val="single" w:color="000000" w:sz="4" w:space="0"/>
            </w:tcBorders>
            <w:tcW w:w="8505" w:type="dxa"/>
            <w:vAlign w:val="center"/>
            <w:textDirection w:val="lrTb"/>
            <w:noWrap w:val="false"/>
          </w:tcPr>
          <w:p>
            <w:pPr>
              <w:ind w:left="24"/>
              <w:jc w:val="center"/>
              <w:rPr>
                <w:rFonts w:ascii="Times New Roman" w:hAnsi="Times New Roman" w:cs="Times New Roman"/>
                <w:sz w:val="24"/>
                <w:szCs w:val="24"/>
              </w:rPr>
            </w:pPr>
            <w:r>
              <w:rPr>
                <w:rFonts w:ascii="Times New Roman" w:hAnsi="Times New Roman" w:cs="Times New Roman"/>
                <w:b/>
                <w:sz w:val="24"/>
                <w:szCs w:val="24"/>
              </w:rPr>
              <w:t xml:space="preserve">Найменування технічних параметрів </w:t>
            </w:r>
            <w:r/>
          </w:p>
        </w:tc>
      </w:tr>
      <w:tr>
        <w:trPr>
          <w:trHeight w:val="249"/>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надання сервісу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183"/>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Режим роботи служби експлуатації Оператора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24х7х365 </w:t>
            </w:r>
            <w:r/>
          </w:p>
        </w:tc>
      </w:tr>
      <w:tr>
        <w:trPr>
          <w:trHeight w:val="27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Максимальний час для аварійної недоступності послуг (надалі – «АНП»)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77"/>
              <w:jc w:val="center"/>
              <w:rPr>
                <w:rFonts w:ascii="Times New Roman" w:hAnsi="Times New Roman" w:cs="Times New Roman"/>
                <w:sz w:val="24"/>
                <w:szCs w:val="24"/>
              </w:rPr>
            </w:pPr>
            <w:r>
              <w:rPr>
                <w:rFonts w:ascii="Times New Roman" w:hAnsi="Times New Roman" w:cs="Times New Roman"/>
                <w:sz w:val="24"/>
                <w:szCs w:val="24"/>
              </w:rPr>
              <w:t xml:space="preserve">до 24 годин </w:t>
            </w:r>
            <w:r/>
          </w:p>
        </w:tc>
      </w:tr>
      <w:tr>
        <w:trPr>
          <w:trHeight w:val="34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про проведення запланованої недоступності послуг (наділ – «ЗНП») за робочих днів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6"/>
              <w:jc w:val="center"/>
              <w:rPr>
                <w:rFonts w:ascii="Times New Roman" w:hAnsi="Times New Roman" w:cs="Times New Roman"/>
                <w:sz w:val="24"/>
                <w:szCs w:val="24"/>
              </w:rPr>
            </w:pPr>
            <w:r>
              <w:rPr>
                <w:rFonts w:ascii="Times New Roman" w:hAnsi="Times New Roman" w:cs="Times New Roman"/>
                <w:sz w:val="24"/>
                <w:szCs w:val="24"/>
              </w:rPr>
              <w:t xml:space="preserve">3 </w:t>
            </w:r>
            <w:r/>
          </w:p>
        </w:tc>
      </w:tr>
      <w:tr>
        <w:trPr>
          <w:trHeight w:val="17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Проміжок часу для проведення ЗНП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128"/>
              <w:jc w:val="center"/>
              <w:rPr>
                <w:rFonts w:ascii="Times New Roman" w:hAnsi="Times New Roman" w:cs="Times New Roman"/>
                <w:sz w:val="24"/>
                <w:szCs w:val="24"/>
              </w:rPr>
            </w:pPr>
            <w:r>
              <w:rPr>
                <w:rFonts w:ascii="Times New Roman" w:hAnsi="Times New Roman" w:cs="Times New Roman"/>
                <w:sz w:val="24"/>
                <w:szCs w:val="24"/>
              </w:rPr>
              <w:t xml:space="preserve">23:00-08:00 </w:t>
            </w:r>
            <w:r/>
          </w:p>
        </w:tc>
      </w:tr>
      <w:tr>
        <w:trPr>
          <w:trHeight w:val="167"/>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Загальний час проведення ЗНП, не більше на  місяць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24 год. </w:t>
            </w:r>
            <w:r/>
          </w:p>
        </w:tc>
      </w:tr>
      <w:tr>
        <w:trPr>
          <w:trHeight w:val="7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Загальна тривалість ЗНП, не більше на рік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48 год. </w:t>
            </w:r>
            <w:r/>
          </w:p>
        </w:tc>
      </w:tr>
      <w:tr>
        <w:trPr>
          <w:trHeight w:val="6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Наявність виділення окремого телефонного номеру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4"/>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Пріоритезація</w:t>
            </w:r>
            <w:r>
              <w:rPr>
                <w:rFonts w:ascii="Times New Roman" w:hAnsi="Times New Roman" w:cs="Times New Roman"/>
                <w:sz w:val="24"/>
                <w:szCs w:val="24"/>
              </w:rPr>
              <w:t xml:space="preserve"> вхідних дзвінків за виділеним номером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348"/>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ight="49"/>
              <w:rPr>
                <w:rFonts w:ascii="Times New Roman" w:hAnsi="Times New Roman" w:cs="Times New Roman"/>
                <w:sz w:val="24"/>
                <w:szCs w:val="24"/>
              </w:rPr>
            </w:pPr>
            <w:r>
              <w:rPr>
                <w:rFonts w:ascii="Times New Roman" w:hAnsi="Times New Roman" w:cs="Times New Roman"/>
                <w:sz w:val="24"/>
                <w:szCs w:val="24"/>
              </w:rPr>
              <w:t xml:space="preserve">Наявність виділення персонального співробітника служби технічної підтримки для підтримки сервісу SLA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3"/>
              <w:jc w:val="center"/>
              <w:rPr>
                <w:rFonts w:ascii="Times New Roman" w:hAnsi="Times New Roman" w:cs="Times New Roman"/>
                <w:sz w:val="24"/>
                <w:szCs w:val="24"/>
              </w:rPr>
            </w:pPr>
            <w:r>
              <w:rPr>
                <w:rFonts w:ascii="Times New Roman" w:hAnsi="Times New Roman" w:cs="Times New Roman"/>
                <w:sz w:val="24"/>
                <w:szCs w:val="24"/>
              </w:rPr>
              <w:t xml:space="preserve">Ні </w:t>
            </w:r>
            <w:r/>
          </w:p>
        </w:tc>
      </w:tr>
      <w:tr>
        <w:trPr>
          <w:trHeight w:val="285"/>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Реагування служби технічної підтримки на звернення Абонента, не пізніше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8"/>
              <w:jc w:val="center"/>
              <w:rPr>
                <w:rFonts w:ascii="Times New Roman" w:hAnsi="Times New Roman" w:cs="Times New Roman"/>
                <w:sz w:val="24"/>
                <w:szCs w:val="24"/>
              </w:rPr>
            </w:pPr>
            <w:r>
              <w:rPr>
                <w:rFonts w:ascii="Times New Roman" w:hAnsi="Times New Roman" w:cs="Times New Roman"/>
                <w:sz w:val="24"/>
                <w:szCs w:val="24"/>
              </w:rPr>
              <w:t xml:space="preserve">2 год. </w:t>
            </w:r>
            <w:r/>
          </w:p>
        </w:tc>
      </w:tr>
      <w:tr>
        <w:trPr>
          <w:trHeight w:val="490"/>
        </w:trPr>
        <w:tc>
          <w:tcPr>
            <w:tcBorders>
              <w:top w:val="single" w:color="000000" w:sz="4" w:space="0"/>
              <w:left w:val="single" w:color="000000" w:sz="4" w:space="0"/>
              <w:bottom w:val="single" w:color="000000" w:sz="4" w:space="0"/>
              <w:right w:val="single" w:color="000000" w:sz="4" w:space="0"/>
            </w:tcBorders>
            <w:tcW w:w="992"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Borders>
              <w:top w:val="single" w:color="000000" w:sz="4" w:space="0"/>
              <w:left w:val="single" w:color="000000" w:sz="4" w:space="0"/>
              <w:bottom w:val="single" w:color="000000" w:sz="4" w:space="0"/>
              <w:right w:val="single" w:color="000000" w:sz="4" w:space="0"/>
            </w:tcBorders>
            <w:tcW w:w="6379" w:type="dxa"/>
            <w:textDirection w:val="lrTb"/>
            <w:noWrap w:val="false"/>
          </w:tcPr>
          <w:p>
            <w:pPr>
              <w:ind w:left="77"/>
              <w:rPr>
                <w:rFonts w:ascii="Times New Roman" w:hAnsi="Times New Roman" w:cs="Times New Roman"/>
                <w:sz w:val="24"/>
                <w:szCs w:val="24"/>
              </w:rPr>
            </w:pPr>
            <w:r>
              <w:rPr>
                <w:rFonts w:ascii="Times New Roman" w:hAnsi="Times New Roman" w:cs="Times New Roman"/>
                <w:sz w:val="24"/>
                <w:szCs w:val="24"/>
              </w:rPr>
              <w:t xml:space="preserve">Повідомлення щодо відновлення  доступності послуг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ind w:left="27"/>
              <w:jc w:val="center"/>
              <w:rPr>
                <w:rFonts w:ascii="Times New Roman" w:hAnsi="Times New Roman" w:cs="Times New Roman"/>
                <w:sz w:val="24"/>
                <w:szCs w:val="24"/>
              </w:rPr>
            </w:pPr>
            <w:r>
              <w:rPr>
                <w:rFonts w:ascii="Times New Roman" w:hAnsi="Times New Roman" w:cs="Times New Roman"/>
                <w:sz w:val="24"/>
                <w:szCs w:val="24"/>
              </w:rPr>
              <w:t xml:space="preserve">За подією </w:t>
            </w:r>
            <w:r/>
          </w:p>
        </w:tc>
      </w:tr>
    </w:tbl>
    <w:p>
      <w:pPr>
        <w:jc w:val="both"/>
        <w:spacing w:after="0" w:line="240" w:lineRule="auto"/>
        <w:tabs>
          <w:tab w:val="left" w:pos="851" w:leader="none"/>
        </w:tabs>
        <w:rPr>
          <w:rFonts w:ascii="Times New Roman" w:hAnsi="Times New Roman" w:cs="Times New Roman"/>
          <w:sz w:val="24"/>
          <w:szCs w:val="24"/>
        </w:rPr>
      </w:pPr>
      <w:r>
        <w:rPr>
          <w:rFonts w:ascii="Times New Roman" w:hAnsi="Times New Roman" w:cs="Times New Roman"/>
          <w:sz w:val="24"/>
          <w:szCs w:val="24"/>
        </w:rPr>
      </w:r>
      <w:r/>
    </w:p>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Строк надання послуги – з 02.09.2024 до 31.12.2024 року</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8"/>
        <w:numPr>
          <w:ilvl w:val="0"/>
          <w:numId w:val="46"/>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Послуга надається з метою організації каналу передачі даних між окремо розташованими будівлями </w:t>
      </w:r>
      <w:r>
        <w:rPr>
          <w:rFonts w:ascii="Times New Roman" w:hAnsi="Times New Roman" w:cs="Times New Roman"/>
          <w:b/>
          <w:bCs/>
          <w:i/>
          <w:iCs/>
          <w:sz w:val="24"/>
          <w:szCs w:val="24"/>
          <w:lang w:val="uk-UA"/>
        </w:rPr>
        <w:t xml:space="preserve">(надати гарантійний лист)</w:t>
      </w:r>
      <w:r>
        <w:rPr>
          <w:rFonts w:ascii="Times New Roman" w:hAnsi="Times New Roman" w:cs="Times New Roman"/>
          <w:sz w:val="24"/>
          <w:szCs w:val="24"/>
          <w:lang w:val="uk-UA"/>
        </w:rPr>
        <w:t xml:space="preserve">.</w:t>
      </w:r>
      <w:r/>
    </w:p>
    <w:p>
      <w:pPr>
        <w:pStyle w:val="748"/>
        <w:numPr>
          <w:ilvl w:val="0"/>
          <w:numId w:val="46"/>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Надати послугу для тестування не пізніше трьох днів з дати оголошення переможця закупівлі та здійснити повноцінне підключення послуги не пізніше трьох днів з моменту підписання договору.</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повинен мати сертифікат відповідності системи управління інформаційною безпекою оператора міжнародному стандарту ISO 27001 </w:t>
      </w:r>
      <w:r>
        <w:rPr>
          <w:rFonts w:ascii="Times New Roman" w:hAnsi="Times New Roman" w:cs="Times New Roman"/>
          <w:b/>
          <w:bCs/>
          <w:i/>
          <w:iCs/>
          <w:sz w:val="24"/>
          <w:szCs w:val="24"/>
        </w:rPr>
        <w:t xml:space="preserve">(надати скановану копію сертифікату)</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Надання Послуг повинно забезпечуватись на всіх вузлах мережі Замовника.</w:t>
      </w:r>
      <w:r/>
    </w:p>
    <w:p>
      <w:pPr>
        <w:numPr>
          <w:ilvl w:val="0"/>
          <w:numId w:val="46"/>
        </w:numPr>
        <w:ind w:left="714" w:hanging="357"/>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 Оператора переважно у підземних комунікаціях (власних або орендованих).</w:t>
      </w:r>
      <w:r>
        <w:rPr>
          <w:rFonts w:ascii="Times New Roman" w:hAnsi="Times New Roman" w:cs="Times New Roman"/>
          <w:color w:val="ff0000"/>
          <w:sz w:val="24"/>
          <w:szCs w:val="24"/>
        </w:rPr>
        <w:t xml:space="preserve"> </w:t>
      </w:r>
      <w:r>
        <w:rPr>
          <w:rFonts w:ascii="Times New Roman" w:hAnsi="Times New Roman" w:cs="Times New Roman"/>
          <w:sz w:val="24"/>
          <w:szCs w:val="24"/>
          <w:lang w:eastAsia="uk-UA"/>
        </w:rPr>
        <w:t xml:space="preserve">У разі якщо учасник процедури закупівлі має </w:t>
      </w:r>
      <w:r>
        <w:rPr>
          <w:rFonts w:ascii="Times New Roman" w:hAnsi="Times New Roman" w:cs="Times New Roman"/>
          <w:sz w:val="24"/>
          <w:szCs w:val="24"/>
          <w:lang w:eastAsia="uk-UA"/>
        </w:rPr>
        <w:t xml:space="preserve">намір залучити спроможності інших суб’єктів господарювання як співвиконавців в обсязі не менше ніж 20 відсотків від загальної кількості </w:t>
      </w:r>
      <w:r>
        <w:rPr>
          <w:rFonts w:ascii="Times New Roman" w:hAnsi="Times New Roman" w:cs="Times New Roman"/>
          <w:sz w:val="24"/>
          <w:szCs w:val="24"/>
          <w:lang w:eastAsia="uk-UA"/>
        </w:rPr>
        <w:t xml:space="preserve">обєктів</w:t>
      </w:r>
      <w:r>
        <w:rPr>
          <w:rFonts w:ascii="Times New Roman" w:hAnsi="Times New Roman" w:cs="Times New Roman"/>
          <w:sz w:val="24"/>
          <w:szCs w:val="24"/>
          <w:lang w:eastAsia="uk-UA"/>
        </w:rPr>
        <w:t xml:space="preserve">,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пункті 47 Постанови</w:t>
      </w:r>
      <w:r>
        <w:rPr>
          <w:rFonts w:ascii="Times New Roman" w:hAnsi="Times New Roman" w:cs="Times New Roman"/>
          <w:sz w:val="24"/>
          <w:szCs w:val="24"/>
        </w:rPr>
        <w:t xml:space="preserve">.</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Під час укладання договору, на вимогу замовника, Учасник має надати підтверджену наявність технічних умов для підключення об’єктів у кількості не менш 80% від загальної та картограму траси прокладання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-оптичного кабелю.</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бути доданий до переліку операторів Національної системи конфіденційного зв’язку (НСКЗ) </w:t>
      </w:r>
      <w:r>
        <w:rPr>
          <w:rFonts w:ascii="Times New Roman" w:hAnsi="Times New Roman" w:cs="Times New Roman"/>
          <w:b/>
          <w:bCs/>
          <w:i/>
          <w:iCs/>
          <w:sz w:val="24"/>
          <w:szCs w:val="24"/>
        </w:rPr>
        <w:t xml:space="preserve">(надати підтвердження).</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Завірені копії Наказу та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та надання послуг захищеного доступу до мережі Інтернет.»</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Учасник має забезпечити, на період дії Договору, надання послуг протягом 24 годин на добу 7 днів на тиждень.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numPr>
          <w:ilvl w:val="0"/>
          <w:numId w:val="46"/>
        </w:num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Оператор повинен забезпечити технічну підтримку Послуги, яка включає в себе постійний моніторинг каналів електронних телекомунікаційних каналів зв’язку та діагностику причин відхилення від заданих технічних характеристик.</w:t>
      </w:r>
      <w:r/>
    </w:p>
    <w:p>
      <w:pPr>
        <w:pStyle w:val="748"/>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або через веб-сайт, або електронну пошту). </w:t>
      </w:r>
      <w:r>
        <w:rPr>
          <w:rFonts w:ascii="Times New Roman" w:hAnsi="Times New Roman" w:cs="Times New Roman"/>
          <w:b/>
          <w:bCs/>
          <w:i/>
          <w:iCs/>
          <w:sz w:val="24"/>
          <w:szCs w:val="24"/>
          <w:lang w:val="uk-UA"/>
        </w:rPr>
        <w:t xml:space="preserve">(надати гарантійний лист)</w:t>
      </w:r>
      <w:r/>
    </w:p>
    <w:p>
      <w:pPr>
        <w:pStyle w:val="748"/>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повинен мати регіональні підрозділи у кожному регіоні України де замовляється послуга </w:t>
      </w:r>
      <w:r>
        <w:rPr>
          <w:rFonts w:ascii="Times New Roman" w:hAnsi="Times New Roman" w:cs="Times New Roman"/>
          <w:b/>
          <w:bCs/>
          <w:i/>
          <w:iCs/>
          <w:sz w:val="24"/>
          <w:szCs w:val="24"/>
          <w:lang w:val="uk-UA"/>
        </w:rPr>
        <w:t xml:space="preserve">(надати гарантійний лист)</w:t>
      </w:r>
      <w:r>
        <w:rPr>
          <w:rFonts w:ascii="Times New Roman" w:hAnsi="Times New Roman" w:cs="Times New Roman"/>
          <w:sz w:val="24"/>
          <w:szCs w:val="24"/>
          <w:lang w:val="uk-UA"/>
        </w:rPr>
        <w:t xml:space="preserve">.</w:t>
      </w:r>
      <w:r/>
    </w:p>
    <w:p>
      <w:pPr>
        <w:pStyle w:val="748"/>
        <w:numPr>
          <w:ilvl w:val="0"/>
          <w:numId w:val="46"/>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Учасник повинен надати Довідку, що погоджується з умовами договору, та приймає їх.</w:t>
      </w:r>
      <w:r/>
    </w:p>
    <w:p>
      <w:pPr>
        <w:pStyle w:val="748"/>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ind w:firstLine="567"/>
        <w:jc w:val="both"/>
        <w:spacing w:after="0" w:line="240" w:lineRule="auto"/>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Адреси між якими будуть організовуватися канали передачі даних, надаються на вимогу учасника закупівлі, у зв’язку з тим, що зазначені відомості становлять службову інформацію відповідно до розділу </w:t>
      </w:r>
      <w:r>
        <w:rPr>
          <w:rFonts w:ascii="Times New Roman" w:hAnsi="Times New Roman" w:cs="Times New Roman"/>
          <w:sz w:val="24"/>
          <w:szCs w:val="24"/>
          <w:lang w:val="en-US"/>
        </w:rPr>
        <w:t xml:space="preserve">IV</w:t>
      </w:r>
      <w:r>
        <w:rPr>
          <w:rFonts w:ascii="Times New Roman" w:hAnsi="Times New Roman" w:cs="Times New Roman"/>
          <w:sz w:val="24"/>
          <w:szCs w:val="24"/>
        </w:rPr>
        <w:t xml:space="preserve"> Переліку відомостей, що становлять службову інформацію в Міністерстві внутрішніх справ України, затвердженому наказом Міністерства внутрішніх справ України від 12 липня 2023 року № 573.</w:t>
      </w:r>
      <w:r/>
    </w:p>
    <w:p>
      <w:pPr>
        <w:ind w:right="-1"/>
        <w:jc w:val="both"/>
        <w:spacing w:after="0" w:line="240" w:lineRule="auto"/>
        <w:widowControl w:val="off"/>
        <w:rPr>
          <w:rFonts w:ascii="Times New Roman" w:hAnsi="Times New Roman"/>
          <w:b/>
          <w:bCs/>
          <w:i/>
          <w:iCs/>
          <w:sz w:val="24"/>
          <w:szCs w:val="24"/>
        </w:rPr>
      </w:pPr>
      <w:r>
        <w:rPr>
          <w:rFonts w:ascii="Times New Roman" w:hAnsi="Times New Roman"/>
          <w:b/>
          <w:bCs/>
          <w:i/>
          <w:iCs/>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472 272</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чотириста сімдесят дві тисячі двісті сімдесят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0">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6">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0"/>
  </w:num>
  <w:num w:numId="2">
    <w:abstractNumId w:val="20"/>
  </w:num>
  <w:num w:numId="3">
    <w:abstractNumId w:val="9"/>
  </w:num>
  <w:num w:numId="4">
    <w:abstractNumId w:val="33"/>
  </w:num>
  <w:num w:numId="5">
    <w:abstractNumId w:val="8"/>
  </w:num>
  <w:num w:numId="6">
    <w:abstractNumId w:val="41"/>
  </w:num>
  <w:num w:numId="7">
    <w:abstractNumId w:val="13"/>
  </w:num>
  <w:num w:numId="8">
    <w:abstractNumId w:val="43"/>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2"/>
  </w:num>
  <w:num w:numId="17">
    <w:abstractNumId w:val="2"/>
  </w:num>
  <w:num w:numId="18">
    <w:abstractNumId w:val="47"/>
  </w:num>
  <w:num w:numId="19">
    <w:abstractNumId w:val="3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5"/>
  </w:num>
  <w:num w:numId="25">
    <w:abstractNumId w:val="24"/>
  </w:num>
  <w:num w:numId="26">
    <w:abstractNumId w:val="30"/>
  </w:num>
  <w:num w:numId="27">
    <w:abstractNumId w:val="37"/>
  </w:num>
  <w:num w:numId="28">
    <w:abstractNumId w:val="26"/>
  </w:num>
  <w:num w:numId="29">
    <w:abstractNumId w:val="38"/>
  </w:num>
  <w:num w:numId="30">
    <w:abstractNumId w:val="19"/>
  </w:num>
  <w:num w:numId="31">
    <w:abstractNumId w:val="4"/>
  </w:num>
  <w:num w:numId="32">
    <w:abstractNumId w:val="22"/>
  </w:num>
  <w:num w:numId="33">
    <w:abstractNumId w:val="18"/>
  </w:num>
  <w:num w:numId="34">
    <w:abstractNumId w:val="16"/>
  </w:num>
  <w:num w:numId="35">
    <w:abstractNumId w:val="45"/>
  </w:num>
  <w:num w:numId="36">
    <w:abstractNumId w:val="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6"/>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2"/>
  </w:num>
  <w:num w:numId="43">
    <w:abstractNumId w:val="29"/>
  </w:num>
  <w:num w:numId="44">
    <w:abstractNumId w:val="39"/>
  </w:num>
  <w:num w:numId="45">
    <w:abstractNumId w:val="23"/>
  </w:num>
  <w:num w:numId="46">
    <w:abstractNumId w:val="0"/>
  </w:num>
  <w:num w:numId="47">
    <w:abstractNumId w:val="27"/>
  </w:num>
  <w:num w:numId="48">
    <w:abstractNumId w:val="2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41"/>
    <w:next w:val="74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45"/>
    <w:link w:val="12"/>
    <w:uiPriority w:val="9"/>
    <w:rPr>
      <w:rFonts w:ascii="Arial" w:hAnsi="Arial" w:eastAsia="Arial" w:cs="Arial"/>
      <w:sz w:val="40"/>
      <w:szCs w:val="40"/>
    </w:rPr>
  </w:style>
  <w:style w:type="character" w:styleId="15">
    <w:name w:val="Heading 2 Char"/>
    <w:basedOn w:val="745"/>
    <w:link w:val="742"/>
    <w:uiPriority w:val="9"/>
    <w:rPr>
      <w:rFonts w:ascii="Arial" w:hAnsi="Arial" w:eastAsia="Arial" w:cs="Arial"/>
      <w:sz w:val="34"/>
    </w:rPr>
  </w:style>
  <w:style w:type="character" w:styleId="17">
    <w:name w:val="Heading 3 Char"/>
    <w:basedOn w:val="745"/>
    <w:link w:val="743"/>
    <w:uiPriority w:val="9"/>
    <w:rPr>
      <w:rFonts w:ascii="Arial" w:hAnsi="Arial" w:eastAsia="Arial" w:cs="Arial"/>
      <w:sz w:val="30"/>
      <w:szCs w:val="30"/>
    </w:rPr>
  </w:style>
  <w:style w:type="character" w:styleId="19">
    <w:name w:val="Heading 4 Char"/>
    <w:basedOn w:val="745"/>
    <w:link w:val="744"/>
    <w:uiPriority w:val="9"/>
    <w:rPr>
      <w:rFonts w:ascii="Arial" w:hAnsi="Arial" w:eastAsia="Arial" w:cs="Arial"/>
      <w:b/>
      <w:bCs/>
      <w:sz w:val="26"/>
      <w:szCs w:val="26"/>
    </w:rPr>
  </w:style>
  <w:style w:type="paragraph" w:styleId="20">
    <w:name w:val="Heading 5"/>
    <w:basedOn w:val="741"/>
    <w:next w:val="74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5"/>
    <w:link w:val="20"/>
    <w:uiPriority w:val="9"/>
    <w:rPr>
      <w:rFonts w:ascii="Arial" w:hAnsi="Arial" w:eastAsia="Arial" w:cs="Arial"/>
      <w:b/>
      <w:bCs/>
      <w:sz w:val="24"/>
      <w:szCs w:val="24"/>
    </w:rPr>
  </w:style>
  <w:style w:type="paragraph" w:styleId="22">
    <w:name w:val="Heading 6"/>
    <w:basedOn w:val="741"/>
    <w:next w:val="74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5"/>
    <w:link w:val="22"/>
    <w:uiPriority w:val="9"/>
    <w:rPr>
      <w:rFonts w:ascii="Arial" w:hAnsi="Arial" w:eastAsia="Arial" w:cs="Arial"/>
      <w:b/>
      <w:bCs/>
      <w:sz w:val="22"/>
      <w:szCs w:val="22"/>
    </w:rPr>
  </w:style>
  <w:style w:type="paragraph" w:styleId="24">
    <w:name w:val="Heading 7"/>
    <w:basedOn w:val="741"/>
    <w:next w:val="74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5"/>
    <w:link w:val="24"/>
    <w:uiPriority w:val="9"/>
    <w:rPr>
      <w:rFonts w:ascii="Arial" w:hAnsi="Arial" w:eastAsia="Arial" w:cs="Arial"/>
      <w:b/>
      <w:bCs/>
      <w:i/>
      <w:iCs/>
      <w:sz w:val="22"/>
      <w:szCs w:val="22"/>
    </w:rPr>
  </w:style>
  <w:style w:type="paragraph" w:styleId="26">
    <w:name w:val="Heading 8"/>
    <w:basedOn w:val="741"/>
    <w:next w:val="74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5"/>
    <w:link w:val="26"/>
    <w:uiPriority w:val="9"/>
    <w:rPr>
      <w:rFonts w:ascii="Arial" w:hAnsi="Arial" w:eastAsia="Arial" w:cs="Arial"/>
      <w:i/>
      <w:iCs/>
      <w:sz w:val="22"/>
      <w:szCs w:val="22"/>
    </w:rPr>
  </w:style>
  <w:style w:type="paragraph" w:styleId="28">
    <w:name w:val="Heading 9"/>
    <w:basedOn w:val="741"/>
    <w:next w:val="74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5"/>
    <w:link w:val="28"/>
    <w:uiPriority w:val="9"/>
    <w:rPr>
      <w:rFonts w:ascii="Arial" w:hAnsi="Arial" w:eastAsia="Arial" w:cs="Arial"/>
      <w:i/>
      <w:iCs/>
      <w:sz w:val="21"/>
      <w:szCs w:val="21"/>
    </w:rPr>
  </w:style>
  <w:style w:type="paragraph" w:styleId="33">
    <w:name w:val="Title"/>
    <w:basedOn w:val="741"/>
    <w:next w:val="741"/>
    <w:link w:val="34"/>
    <w:uiPriority w:val="10"/>
    <w:qFormat/>
    <w:pPr>
      <w:contextualSpacing/>
      <w:spacing w:before="300" w:after="200"/>
    </w:pPr>
    <w:rPr>
      <w:sz w:val="48"/>
      <w:szCs w:val="48"/>
    </w:rPr>
  </w:style>
  <w:style w:type="character" w:styleId="34">
    <w:name w:val="Title Char"/>
    <w:basedOn w:val="745"/>
    <w:link w:val="33"/>
    <w:uiPriority w:val="10"/>
    <w:rPr>
      <w:sz w:val="48"/>
      <w:szCs w:val="48"/>
    </w:rPr>
  </w:style>
  <w:style w:type="paragraph" w:styleId="35">
    <w:name w:val="Subtitle"/>
    <w:basedOn w:val="741"/>
    <w:next w:val="741"/>
    <w:link w:val="36"/>
    <w:uiPriority w:val="11"/>
    <w:qFormat/>
    <w:pPr>
      <w:spacing w:before="200" w:after="200"/>
    </w:pPr>
    <w:rPr>
      <w:sz w:val="24"/>
      <w:szCs w:val="24"/>
    </w:rPr>
  </w:style>
  <w:style w:type="character" w:styleId="36">
    <w:name w:val="Subtitle Char"/>
    <w:basedOn w:val="745"/>
    <w:link w:val="35"/>
    <w:uiPriority w:val="11"/>
    <w:rPr>
      <w:sz w:val="24"/>
      <w:szCs w:val="24"/>
    </w:rPr>
  </w:style>
  <w:style w:type="paragraph" w:styleId="37">
    <w:name w:val="Quote"/>
    <w:basedOn w:val="741"/>
    <w:next w:val="741"/>
    <w:link w:val="38"/>
    <w:uiPriority w:val="29"/>
    <w:qFormat/>
    <w:pPr>
      <w:ind w:left="720" w:right="720"/>
    </w:pPr>
    <w:rPr>
      <w:i/>
    </w:rPr>
  </w:style>
  <w:style w:type="character" w:styleId="38">
    <w:name w:val="Quote Char"/>
    <w:link w:val="37"/>
    <w:uiPriority w:val="29"/>
    <w:rPr>
      <w:i/>
    </w:rPr>
  </w:style>
  <w:style w:type="paragraph" w:styleId="39">
    <w:name w:val="Intense Quote"/>
    <w:basedOn w:val="741"/>
    <w:next w:val="74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41"/>
    <w:link w:val="42"/>
    <w:uiPriority w:val="99"/>
    <w:unhideWhenUsed/>
    <w:pPr>
      <w:spacing w:after="0" w:line="240" w:lineRule="auto"/>
      <w:tabs>
        <w:tab w:val="center" w:pos="7143" w:leader="none"/>
        <w:tab w:val="right" w:pos="14287" w:leader="none"/>
      </w:tabs>
    </w:pPr>
  </w:style>
  <w:style w:type="character" w:styleId="42">
    <w:name w:val="Header Char"/>
    <w:basedOn w:val="745"/>
    <w:link w:val="41"/>
    <w:uiPriority w:val="99"/>
  </w:style>
  <w:style w:type="character" w:styleId="44">
    <w:name w:val="Footer Char"/>
    <w:basedOn w:val="745"/>
    <w:link w:val="754"/>
    <w:uiPriority w:val="99"/>
  </w:style>
  <w:style w:type="paragraph" w:styleId="45">
    <w:name w:val="Caption"/>
    <w:basedOn w:val="741"/>
    <w:next w:val="741"/>
    <w:uiPriority w:val="35"/>
    <w:semiHidden/>
    <w:unhideWhenUsed/>
    <w:qFormat/>
    <w:pPr>
      <w:spacing w:line="276" w:lineRule="auto"/>
    </w:pPr>
    <w:rPr>
      <w:b/>
      <w:bCs/>
      <w:color w:val="4f81bd" w:themeColor="accent1"/>
      <w:sz w:val="18"/>
      <w:szCs w:val="18"/>
    </w:rPr>
  </w:style>
  <w:style w:type="character" w:styleId="46">
    <w:name w:val="Caption Char"/>
    <w:basedOn w:val="45"/>
    <w:link w:val="754"/>
    <w:uiPriority w:val="99"/>
  </w:style>
  <w:style w:type="table" w:styleId="48">
    <w:name w:val="Table Grid Light"/>
    <w:basedOn w:val="7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5"/>
    <w:uiPriority w:val="99"/>
    <w:unhideWhenUsed/>
    <w:rPr>
      <w:vertAlign w:val="superscript"/>
    </w:rPr>
  </w:style>
  <w:style w:type="paragraph" w:styleId="177">
    <w:name w:val="endnote text"/>
    <w:basedOn w:val="74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5"/>
    <w:uiPriority w:val="99"/>
    <w:semiHidden/>
    <w:unhideWhenUsed/>
    <w:rPr>
      <w:vertAlign w:val="superscript"/>
    </w:rPr>
  </w:style>
  <w:style w:type="paragraph" w:styleId="180">
    <w:name w:val="toc 1"/>
    <w:basedOn w:val="741"/>
    <w:next w:val="741"/>
    <w:uiPriority w:val="39"/>
    <w:unhideWhenUsed/>
    <w:pPr>
      <w:ind w:left="0" w:right="0" w:firstLine="0"/>
      <w:spacing w:after="57"/>
    </w:pPr>
  </w:style>
  <w:style w:type="paragraph" w:styleId="181">
    <w:name w:val="toc 2"/>
    <w:basedOn w:val="741"/>
    <w:next w:val="741"/>
    <w:uiPriority w:val="39"/>
    <w:unhideWhenUsed/>
    <w:pPr>
      <w:ind w:left="283" w:right="0" w:firstLine="0"/>
      <w:spacing w:after="57"/>
    </w:pPr>
  </w:style>
  <w:style w:type="paragraph" w:styleId="182">
    <w:name w:val="toc 3"/>
    <w:basedOn w:val="741"/>
    <w:next w:val="741"/>
    <w:uiPriority w:val="39"/>
    <w:unhideWhenUsed/>
    <w:pPr>
      <w:ind w:left="567" w:right="0" w:firstLine="0"/>
      <w:spacing w:after="57"/>
    </w:pPr>
  </w:style>
  <w:style w:type="paragraph" w:styleId="183">
    <w:name w:val="toc 4"/>
    <w:basedOn w:val="741"/>
    <w:next w:val="741"/>
    <w:uiPriority w:val="39"/>
    <w:unhideWhenUsed/>
    <w:pPr>
      <w:ind w:left="850" w:right="0" w:firstLine="0"/>
      <w:spacing w:after="57"/>
    </w:pPr>
  </w:style>
  <w:style w:type="paragraph" w:styleId="184">
    <w:name w:val="toc 5"/>
    <w:basedOn w:val="741"/>
    <w:next w:val="741"/>
    <w:uiPriority w:val="39"/>
    <w:unhideWhenUsed/>
    <w:pPr>
      <w:ind w:left="1134" w:right="0" w:firstLine="0"/>
      <w:spacing w:after="57"/>
    </w:pPr>
  </w:style>
  <w:style w:type="paragraph" w:styleId="185">
    <w:name w:val="toc 6"/>
    <w:basedOn w:val="741"/>
    <w:next w:val="741"/>
    <w:uiPriority w:val="39"/>
    <w:unhideWhenUsed/>
    <w:pPr>
      <w:ind w:left="1417" w:right="0" w:firstLine="0"/>
      <w:spacing w:after="57"/>
    </w:pPr>
  </w:style>
  <w:style w:type="paragraph" w:styleId="186">
    <w:name w:val="toc 7"/>
    <w:basedOn w:val="741"/>
    <w:next w:val="741"/>
    <w:uiPriority w:val="39"/>
    <w:unhideWhenUsed/>
    <w:pPr>
      <w:ind w:left="1701" w:right="0" w:firstLine="0"/>
      <w:spacing w:after="57"/>
    </w:pPr>
  </w:style>
  <w:style w:type="paragraph" w:styleId="187">
    <w:name w:val="toc 8"/>
    <w:basedOn w:val="741"/>
    <w:next w:val="741"/>
    <w:uiPriority w:val="39"/>
    <w:unhideWhenUsed/>
    <w:pPr>
      <w:ind w:left="1984" w:right="0" w:firstLine="0"/>
      <w:spacing w:after="57"/>
    </w:pPr>
  </w:style>
  <w:style w:type="paragraph" w:styleId="188">
    <w:name w:val="toc 9"/>
    <w:basedOn w:val="741"/>
    <w:next w:val="74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1"/>
    <w:next w:val="741"/>
    <w:uiPriority w:val="99"/>
    <w:unhideWhenUsed/>
    <w:pPr>
      <w:spacing w:after="0" w:afterAutospacing="0"/>
    </w:pPr>
  </w:style>
  <w:style w:type="paragraph" w:styleId="741" w:default="1">
    <w:name w:val="Normal"/>
    <w:qFormat/>
    <w:rPr>
      <w:lang w:val="uk-UA"/>
    </w:rPr>
  </w:style>
  <w:style w:type="paragraph" w:styleId="742">
    <w:name w:val="Heading 2"/>
    <w:basedOn w:val="741"/>
    <w:link w:val="76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43">
    <w:name w:val="Heading 3"/>
    <w:basedOn w:val="741"/>
    <w:next w:val="741"/>
    <w:link w:val="78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44">
    <w:name w:val="Heading 4"/>
    <w:basedOn w:val="741"/>
    <w:next w:val="741"/>
    <w:link w:val="78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45" w:default="1">
    <w:name w:val="Default Paragraph Font"/>
    <w:uiPriority w:val="1"/>
    <w:semiHidden/>
    <w:unhideWhenUsed/>
  </w:style>
  <w:style w:type="table" w:styleId="746" w:default="1">
    <w:name w:val="Normal Table"/>
    <w:uiPriority w:val="99"/>
    <w:semiHidden/>
    <w:unhideWhenUsed/>
    <w:tblPr>
      <w:tblInd w:w="0" w:type="dxa"/>
      <w:tblCellMar>
        <w:left w:w="108" w:type="dxa"/>
        <w:top w:w="0" w:type="dxa"/>
        <w:right w:w="108" w:type="dxa"/>
        <w:bottom w:w="0" w:type="dxa"/>
      </w:tblCellMar>
    </w:tblPr>
  </w:style>
  <w:style w:type="numbering" w:styleId="747" w:default="1">
    <w:name w:val="No List"/>
    <w:uiPriority w:val="99"/>
    <w:semiHidden/>
    <w:unhideWhenUsed/>
  </w:style>
  <w:style w:type="paragraph" w:styleId="748">
    <w:name w:val="List Paragraph"/>
    <w:basedOn w:val="741"/>
    <w:link w:val="749"/>
    <w:uiPriority w:val="34"/>
    <w:qFormat/>
    <w:pPr>
      <w:contextualSpacing/>
      <w:ind w:left="720"/>
      <w:spacing w:after="200" w:line="276" w:lineRule="auto"/>
    </w:pPr>
    <w:rPr>
      <w:rFonts w:ascii="Calibri" w:hAnsi="Calibri" w:eastAsia="Calibri" w:cs="Calibri"/>
      <w:lang w:val="ru-RU" w:eastAsia="zh-CN"/>
    </w:rPr>
  </w:style>
  <w:style w:type="character" w:styleId="749" w:customStyle="1">
    <w:name w:val="Абзац списку Знак"/>
    <w:link w:val="748"/>
    <w:qFormat/>
    <w:rPr>
      <w:rFonts w:ascii="Calibri" w:hAnsi="Calibri" w:eastAsia="Calibri" w:cs="Calibri"/>
      <w:lang w:eastAsia="zh-CN"/>
    </w:rPr>
  </w:style>
  <w:style w:type="table" w:styleId="750">
    <w:name w:val="Table Grid"/>
    <w:basedOn w:val="74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1" w:customStyle="1">
    <w:name w:val="Сетка таблицы2"/>
    <w:basedOn w:val="746"/>
    <w:next w:val="75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2">
    <w:name w:val="Normal (Web)"/>
    <w:basedOn w:val="741"/>
    <w:link w:val="759"/>
    <w:unhideWhenUsed/>
    <w:qFormat/>
    <w:rPr>
      <w:rFonts w:ascii="Times New Roman" w:hAnsi="Times New Roman" w:cs="Times New Roman"/>
      <w:sz w:val="24"/>
      <w:szCs w:val="24"/>
    </w:rPr>
  </w:style>
  <w:style w:type="table" w:styleId="753" w:customStyle="1">
    <w:name w:val="Сетка таблицы1"/>
    <w:basedOn w:val="746"/>
    <w:next w:val="75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4">
    <w:name w:val="Footer"/>
    <w:basedOn w:val="741"/>
    <w:link w:val="75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5" w:customStyle="1">
    <w:name w:val="Нижній колонтитул Знак"/>
    <w:basedOn w:val="745"/>
    <w:link w:val="754"/>
    <w:uiPriority w:val="99"/>
    <w:rPr>
      <w:rFonts w:ascii="Calibri" w:hAnsi="Calibri" w:eastAsia="Calibri" w:cs="Calibri"/>
      <w:lang w:eastAsia="zh-CN"/>
    </w:rPr>
  </w:style>
  <w:style w:type="paragraph" w:styleId="75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7">
    <w:name w:val="Hyperlink"/>
    <w:basedOn w:val="745"/>
    <w:uiPriority w:val="99"/>
    <w:unhideWhenUsed/>
    <w:rPr>
      <w:color w:val="0563c1" w:themeColor="hyperlink"/>
      <w:u w:val="single"/>
    </w:rPr>
  </w:style>
  <w:style w:type="character" w:styleId="758" w:customStyle="1">
    <w:name w:val="xfm_93972720"/>
    <w:basedOn w:val="745"/>
  </w:style>
  <w:style w:type="character" w:styleId="759" w:customStyle="1">
    <w:name w:val="Звичайний (веб) Знак"/>
    <w:link w:val="752"/>
    <w:qFormat/>
    <w:rPr>
      <w:rFonts w:ascii="Times New Roman" w:hAnsi="Times New Roman" w:cs="Times New Roman"/>
      <w:sz w:val="24"/>
      <w:szCs w:val="24"/>
      <w:lang w:val="uk-UA"/>
    </w:rPr>
  </w:style>
  <w:style w:type="paragraph" w:styleId="760">
    <w:name w:val="Body Text 2"/>
    <w:basedOn w:val="741"/>
    <w:link w:val="761"/>
    <w:pPr>
      <w:spacing w:after="0" w:line="240" w:lineRule="auto"/>
    </w:pPr>
    <w:rPr>
      <w:rFonts w:ascii="Times New Roman" w:hAnsi="Times New Roman" w:eastAsia="Times New Roman" w:cs="Times New Roman"/>
      <w:sz w:val="28"/>
      <w:szCs w:val="20"/>
      <w:lang w:val="ru-RU" w:eastAsia="ru-RU"/>
    </w:rPr>
  </w:style>
  <w:style w:type="character" w:styleId="761" w:customStyle="1">
    <w:name w:val="Основний текст 2 Знак"/>
    <w:basedOn w:val="745"/>
    <w:link w:val="760"/>
    <w:rPr>
      <w:rFonts w:ascii="Times New Roman" w:hAnsi="Times New Roman" w:eastAsia="Times New Roman" w:cs="Times New Roman"/>
      <w:sz w:val="28"/>
      <w:szCs w:val="20"/>
      <w:lang w:eastAsia="ru-RU"/>
    </w:rPr>
  </w:style>
  <w:style w:type="paragraph" w:styleId="76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63" w:customStyle="1">
    <w:name w:val="Заголовок 2 Знак"/>
    <w:basedOn w:val="745"/>
    <w:link w:val="742"/>
    <w:uiPriority w:val="9"/>
    <w:rPr>
      <w:rFonts w:ascii="Times New Roman" w:hAnsi="Times New Roman" w:eastAsia="Times New Roman" w:cs="Times New Roman"/>
      <w:b/>
      <w:bCs/>
      <w:sz w:val="36"/>
      <w:szCs w:val="36"/>
      <w:lang w:val="uk-UA" w:eastAsia="uk-UA"/>
    </w:rPr>
  </w:style>
  <w:style w:type="paragraph" w:styleId="764">
    <w:name w:val="No Spacing"/>
    <w:link w:val="765"/>
    <w:uiPriority w:val="1"/>
    <w:qFormat/>
    <w:pPr>
      <w:spacing w:after="0" w:line="240" w:lineRule="auto"/>
    </w:pPr>
    <w:rPr>
      <w:rFonts w:ascii="Calibri" w:hAnsi="Calibri" w:eastAsia="Calibri" w:cs="Times New Roman"/>
      <w:lang w:val="uk-UA"/>
    </w:rPr>
  </w:style>
  <w:style w:type="character" w:styleId="765" w:customStyle="1">
    <w:name w:val="Без інтервалів Знак"/>
    <w:basedOn w:val="745"/>
    <w:link w:val="764"/>
    <w:uiPriority w:val="1"/>
    <w:rPr>
      <w:rFonts w:ascii="Calibri" w:hAnsi="Calibri" w:eastAsia="Calibri" w:cs="Times New Roman"/>
      <w:lang w:val="uk-UA"/>
    </w:rPr>
  </w:style>
  <w:style w:type="character" w:styleId="766" w:customStyle="1">
    <w:name w:val="Другое_"/>
    <w:basedOn w:val="745"/>
    <w:link w:val="767"/>
    <w:rPr>
      <w:rFonts w:ascii="Calibri" w:hAnsi="Calibri" w:eastAsia="Calibri" w:cs="Calibri"/>
      <w:sz w:val="20"/>
      <w:szCs w:val="20"/>
    </w:rPr>
  </w:style>
  <w:style w:type="paragraph" w:styleId="767" w:customStyle="1">
    <w:name w:val="Другое"/>
    <w:basedOn w:val="741"/>
    <w:link w:val="766"/>
    <w:qFormat/>
    <w:pPr>
      <w:spacing w:after="0" w:line="240" w:lineRule="auto"/>
      <w:widowControl w:val="off"/>
    </w:pPr>
    <w:rPr>
      <w:rFonts w:ascii="Calibri" w:hAnsi="Calibri" w:eastAsia="Calibri" w:cs="Calibri"/>
      <w:sz w:val="20"/>
      <w:szCs w:val="20"/>
      <w:lang w:val="ru-RU"/>
    </w:rPr>
  </w:style>
  <w:style w:type="paragraph" w:styleId="76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9" w:customStyle="1">
    <w:name w:val="Основной текст (2)_"/>
    <w:basedOn w:val="745"/>
    <w:link w:val="770"/>
    <w:rPr>
      <w:rFonts w:eastAsia="Times New Roman" w:cs="Times New Roman"/>
      <w:shd w:val="clear" w:color="auto" w:fill="ffffff"/>
    </w:rPr>
  </w:style>
  <w:style w:type="paragraph" w:styleId="770" w:customStyle="1">
    <w:name w:val="Основной текст (2)"/>
    <w:basedOn w:val="741"/>
    <w:link w:val="769"/>
    <w:pPr>
      <w:ind w:hanging="700"/>
      <w:jc w:val="both"/>
      <w:spacing w:before="240" w:after="480" w:line="0" w:lineRule="atLeast"/>
      <w:shd w:val="clear" w:color="auto" w:fill="ffffff"/>
      <w:widowControl w:val="off"/>
    </w:pPr>
    <w:rPr>
      <w:rFonts w:eastAsia="Times New Roman" w:cs="Times New Roman"/>
      <w:lang w:val="ru-RU"/>
    </w:rPr>
  </w:style>
  <w:style w:type="character" w:styleId="771" w:customStyle="1">
    <w:name w:val="Текст у виносці Знак"/>
    <w:basedOn w:val="745"/>
    <w:link w:val="772"/>
    <w:uiPriority w:val="99"/>
    <w:semiHidden/>
    <w:rPr>
      <w:rFonts w:ascii="Segoe UI" w:hAnsi="Segoe UI" w:eastAsia="Times New Roman" w:cs="Segoe UI"/>
      <w:sz w:val="18"/>
      <w:szCs w:val="18"/>
      <w:lang w:eastAsia="ru-RU"/>
    </w:rPr>
  </w:style>
  <w:style w:type="paragraph" w:styleId="772">
    <w:name w:val="Balloon Text"/>
    <w:basedOn w:val="741"/>
    <w:link w:val="77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73" w:customStyle="1">
    <w:name w:val="Текст у виносці Знак1"/>
    <w:basedOn w:val="745"/>
    <w:uiPriority w:val="99"/>
    <w:semiHidden/>
    <w:rPr>
      <w:rFonts w:ascii="Segoe UI" w:hAnsi="Segoe UI" w:cs="Segoe UI"/>
      <w:sz w:val="18"/>
      <w:szCs w:val="18"/>
      <w:lang w:val="uk-UA"/>
    </w:rPr>
  </w:style>
  <w:style w:type="character" w:styleId="774" w:customStyle="1">
    <w:name w:val="T23"/>
    <w:rPr>
      <w:rFonts w:hint="default" w:ascii="Times New Roman" w:hAnsi="Times New Roman" w:eastAsia="Times New Roman1" w:cs="Times New Roman"/>
    </w:rPr>
  </w:style>
  <w:style w:type="paragraph" w:styleId="775" w:customStyle="1">
    <w:name w:val="Абзац списку1"/>
    <w:basedOn w:val="74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6" w:customStyle="1">
    <w:name w:val="markedcontent"/>
    <w:basedOn w:val="745"/>
  </w:style>
  <w:style w:type="paragraph" w:styleId="777">
    <w:name w:val="annotation text"/>
    <w:basedOn w:val="741"/>
    <w:link w:val="77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8" w:customStyle="1">
    <w:name w:val="Текст примітки Знак"/>
    <w:basedOn w:val="745"/>
    <w:link w:val="777"/>
    <w:uiPriority w:val="99"/>
    <w:rPr>
      <w:rFonts w:ascii="Times New Roman" w:hAnsi="Times New Roman" w:eastAsia="Times New Roman" w:cs="Times New Roman"/>
      <w:sz w:val="20"/>
      <w:szCs w:val="20"/>
      <w:lang w:eastAsia="ru-RU"/>
    </w:rPr>
  </w:style>
  <w:style w:type="character" w:styleId="779" w:customStyle="1">
    <w:name w:val="docdata"/>
    <w:basedOn w:val="745"/>
  </w:style>
  <w:style w:type="character" w:styleId="780" w:customStyle="1">
    <w:name w:val="Заголовок 3 Знак"/>
    <w:basedOn w:val="745"/>
    <w:link w:val="743"/>
    <w:uiPriority w:val="9"/>
    <w:semiHidden/>
    <w:rPr>
      <w:rFonts w:asciiTheme="majorHAnsi" w:hAnsiTheme="majorHAnsi" w:eastAsiaTheme="majorEastAsia" w:cstheme="majorBidi"/>
      <w:color w:val="1f4d78" w:themeColor="accent1" w:themeShade="7F"/>
      <w:sz w:val="24"/>
      <w:szCs w:val="24"/>
      <w:lang w:val="uk-UA"/>
    </w:rPr>
  </w:style>
  <w:style w:type="character" w:styleId="781" w:customStyle="1">
    <w:name w:val="Заголовок 4 Знак"/>
    <w:basedOn w:val="745"/>
    <w:link w:val="744"/>
    <w:uiPriority w:val="9"/>
    <w:semiHidden/>
    <w:rPr>
      <w:rFonts w:asciiTheme="majorHAnsi" w:hAnsiTheme="majorHAnsi" w:eastAsiaTheme="majorEastAsia" w:cstheme="majorBidi"/>
      <w:i/>
      <w:iCs/>
      <w:color w:val="2e74b5" w:themeColor="accent1" w:themeShade="BF"/>
      <w:lang w:val="uk-UA"/>
    </w:rPr>
  </w:style>
  <w:style w:type="paragraph" w:styleId="782" w:customStyle="1">
    <w:name w:val="name-spec"/>
    <w:basedOn w:val="74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3" w:customStyle="1">
    <w:name w:val="cont-spec"/>
    <w:basedOn w:val="74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4">
    <w:name w:val="Strong"/>
    <w:basedOn w:val="745"/>
    <w:uiPriority w:val="22"/>
    <w:qFormat/>
    <w:rPr>
      <w:b/>
      <w:bCs/>
    </w:rPr>
  </w:style>
  <w:style w:type="paragraph" w:styleId="785" w:customStyle="1">
    <w:name w:val="rvps6"/>
    <w:basedOn w:val="741"/>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86"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2024-07-08T11:56:21Z</dcterms:modified>
</cp:coreProperties>
</file>