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73921975"/>
      <w:r>
        <w:rPr>
          <w:b w:val="0"/>
          <w:bCs w:val="0"/>
          <w:sz w:val="24"/>
          <w:szCs w:val="24"/>
        </w:rPr>
        <w:t xml:space="preserve">Закупівля жалюзі зі встановленням за кодом CPV за ЄЗС ДК 021:2015: 39510000-0 Вироби домашнього текстилю</w:t>
      </w:r>
      <w:bookmarkEnd w:id="0"/>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13</w:t>
      </w:r>
      <w:r>
        <w:rPr>
          <w:rFonts w:ascii="Times New Roman" w:hAnsi="Times New Roman" w:cs="Times New Roman"/>
          <w:sz w:val="24"/>
          <w:szCs w:val="24"/>
        </w:rPr>
        <w:t xml:space="preserve">-</w:t>
      </w:r>
      <w:r>
        <w:rPr>
          <w:rFonts w:ascii="Times New Roman" w:hAnsi="Times New Roman" w:cs="Times New Roman"/>
          <w:sz w:val="24"/>
          <w:szCs w:val="24"/>
        </w:rPr>
        <w:t xml:space="preserve">010542</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жалюзі зі встановленням за кодом CPV за ЄЗС ДК 021:2015: 39510000-0 Вироби домашнього текстилю</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6"/>
        <w:tblW w:w="9634" w:type="dxa"/>
        <w:tblLook w:val="04A0" w:firstRow="1" w:lastRow="0" w:firstColumn="1" w:lastColumn="0" w:noHBand="0" w:noVBand="1"/>
      </w:tblPr>
      <w:tblGrid>
        <w:gridCol w:w="636"/>
        <w:gridCol w:w="5611"/>
        <w:gridCol w:w="1694"/>
        <w:gridCol w:w="1693"/>
      </w:tblGrid>
      <w:tr>
        <w:trPr/>
        <w:tc>
          <w:tcPr>
            <w:tcW w:w="636" w:type="dxa"/>
            <w:textDirection w:val="lrTb"/>
            <w:noWrap w:val="false"/>
          </w:tcPr>
          <w:p>
            <w:pPr>
              <w:pStyle w:val="738"/>
              <w:jc w:val="center"/>
              <w:rPr>
                <w:b/>
                <w:bCs/>
              </w:rPr>
            </w:pPr>
            <w:r/>
            <w:bookmarkStart w:id="1" w:name="_Hlk173497941"/>
            <w:r>
              <w:rPr>
                <w:b/>
                <w:bCs/>
              </w:rPr>
              <w:t xml:space="preserve">№ п/п</w:t>
            </w:r>
            <w:r/>
          </w:p>
        </w:tc>
        <w:tc>
          <w:tcPr>
            <w:tcW w:w="5611" w:type="dxa"/>
            <w:textDirection w:val="lrTb"/>
            <w:noWrap w:val="false"/>
          </w:tcPr>
          <w:p>
            <w:pPr>
              <w:pStyle w:val="738"/>
              <w:jc w:val="center"/>
              <w:rPr>
                <w:b/>
                <w:bCs/>
              </w:rPr>
            </w:pPr>
            <w:r>
              <w:rPr>
                <w:b/>
                <w:bCs/>
              </w:rPr>
              <w:t xml:space="preserve">Назва системи</w:t>
            </w:r>
            <w:r/>
          </w:p>
        </w:tc>
        <w:tc>
          <w:tcPr>
            <w:tcW w:w="1694" w:type="dxa"/>
            <w:textDirection w:val="lrTb"/>
            <w:noWrap w:val="false"/>
          </w:tcPr>
          <w:p>
            <w:pPr>
              <w:pStyle w:val="738"/>
              <w:jc w:val="center"/>
              <w:rPr>
                <w:b/>
                <w:bCs/>
              </w:rPr>
            </w:pPr>
            <w:r>
              <w:rPr>
                <w:b/>
                <w:bCs/>
              </w:rPr>
              <w:t xml:space="preserve">Кількість</w:t>
            </w:r>
            <w:r/>
          </w:p>
        </w:tc>
        <w:tc>
          <w:tcPr>
            <w:tcW w:w="1693" w:type="dxa"/>
            <w:textDirection w:val="lrTb"/>
            <w:noWrap w:val="false"/>
          </w:tcPr>
          <w:p>
            <w:pPr>
              <w:pStyle w:val="738"/>
              <w:jc w:val="center"/>
              <w:rPr>
                <w:b/>
                <w:bCs/>
              </w:rPr>
            </w:pPr>
            <w:r>
              <w:rPr>
                <w:b/>
                <w:bCs/>
              </w:rPr>
              <w:t xml:space="preserve">Одиниця виміру</w:t>
            </w:r>
            <w:r/>
          </w:p>
        </w:tc>
      </w:tr>
      <w:tr>
        <w:trPr/>
        <w:tc>
          <w:tcPr>
            <w:tcW w:w="636" w:type="dxa"/>
            <w:textDirection w:val="lrTb"/>
            <w:noWrap w:val="false"/>
          </w:tcPr>
          <w:p>
            <w:pPr>
              <w:pStyle w:val="738"/>
              <w:jc w:val="center"/>
              <w:rPr>
                <w:b/>
                <w:bCs/>
              </w:rPr>
            </w:pPr>
            <w:r>
              <w:rPr>
                <w:b/>
                <w:bCs/>
              </w:rPr>
              <w:t xml:space="preserve">1</w:t>
            </w:r>
            <w:r/>
          </w:p>
        </w:tc>
        <w:tc>
          <w:tcPr>
            <w:tcW w:w="5611" w:type="dxa"/>
            <w:textDirection w:val="lrTb"/>
            <w:noWrap w:val="false"/>
          </w:tcPr>
          <w:p>
            <w:pPr>
              <w:pStyle w:val="738"/>
              <w:jc w:val="both"/>
              <w:rPr>
                <w:b/>
                <w:bCs/>
              </w:rPr>
            </w:pPr>
            <w:r>
              <w:rPr>
                <w:b/>
                <w:bCs/>
              </w:rPr>
              <w:t xml:space="preserve">Комплект дверей на об’єкт зі встановленням, </w:t>
            </w:r>
            <w:r>
              <w:rPr>
                <w:i/>
                <w:iCs/>
              </w:rPr>
              <w:t xml:space="preserve">у складі:</w:t>
            </w:r>
            <w:r/>
          </w:p>
        </w:tc>
        <w:tc>
          <w:tcPr>
            <w:tcW w:w="1694" w:type="dxa"/>
            <w:textDirection w:val="lrTb"/>
            <w:noWrap w:val="false"/>
          </w:tcPr>
          <w:p>
            <w:pPr>
              <w:pStyle w:val="738"/>
              <w:jc w:val="center"/>
              <w:rPr>
                <w:b/>
                <w:bCs/>
              </w:rPr>
            </w:pPr>
            <w:r>
              <w:rPr>
                <w:b/>
                <w:bCs/>
              </w:rPr>
              <w:t xml:space="preserve">1</w:t>
            </w:r>
            <w:r/>
          </w:p>
        </w:tc>
        <w:tc>
          <w:tcPr>
            <w:tcW w:w="1693" w:type="dxa"/>
            <w:textDirection w:val="lrTb"/>
            <w:noWrap w:val="false"/>
          </w:tcPr>
          <w:p>
            <w:pPr>
              <w:pStyle w:val="738"/>
              <w:jc w:val="center"/>
              <w:rPr>
                <w:b/>
                <w:bCs/>
              </w:rPr>
            </w:pPr>
            <w:r>
              <w:rPr>
                <w:b/>
                <w:bCs/>
              </w:rPr>
              <w:t xml:space="preserve">компл</w:t>
            </w:r>
            <w:r>
              <w:rPr>
                <w:b/>
                <w:bCs/>
              </w:rPr>
              <w:t xml:space="preserve">.</w:t>
            </w:r>
            <w:r/>
          </w:p>
        </w:tc>
      </w:tr>
      <w:tr>
        <w:trPr/>
        <w:tc>
          <w:tcPr>
            <w:tcW w:w="636" w:type="dxa"/>
            <w:vAlign w:val="center"/>
            <w:textDirection w:val="lrTb"/>
            <w:noWrap w:val="false"/>
          </w:tcPr>
          <w:p>
            <w:pPr>
              <w:pStyle w:val="738"/>
              <w:jc w:val="center"/>
              <w:rPr>
                <w:b/>
                <w:bCs/>
              </w:rPr>
            </w:pPr>
            <w:r>
              <w:rPr>
                <w:color w:val="000000"/>
              </w:rPr>
              <w:t xml:space="preserve">1.1</w:t>
            </w:r>
            <w:r/>
          </w:p>
        </w:tc>
        <w:tc>
          <w:tcPr>
            <w:tcW w:w="5611" w:type="dxa"/>
            <w:vAlign w:val="center"/>
            <w:textDirection w:val="lrTb"/>
            <w:noWrap w:val="false"/>
          </w:tcPr>
          <w:p>
            <w:pPr>
              <w:pStyle w:val="738"/>
              <w:jc w:val="both"/>
              <w:rPr>
                <w:b/>
                <w:bCs/>
              </w:rPr>
            </w:pPr>
            <w:r>
              <w:rPr>
                <w:color w:val="000000"/>
              </w:rPr>
              <w:t xml:space="preserve">Блок дверний металевий, клас вогнестійкості ЕІ 30, внутрішній, глухий, одностулкові 900х2100мм ліві. Колір RAL 7024 з покриттям Маренго. Фурнітура в комплекті чорного матового кольору, </w:t>
            </w:r>
            <w:r>
              <w:rPr>
                <w:color w:val="000000"/>
              </w:rPr>
              <w:t xml:space="preserve">дотягувач</w:t>
            </w:r>
            <w:r>
              <w:rPr>
                <w:color w:val="000000"/>
              </w:rPr>
              <w:t xml:space="preserve"> електромеханічний</w:t>
            </w:r>
            <w:r/>
          </w:p>
        </w:tc>
        <w:tc>
          <w:tcPr>
            <w:tcW w:w="1694" w:type="dxa"/>
            <w:vAlign w:val="center"/>
            <w:textDirection w:val="lrTb"/>
            <w:noWrap w:val="false"/>
          </w:tcPr>
          <w:p>
            <w:pPr>
              <w:pStyle w:val="738"/>
              <w:jc w:val="center"/>
              <w:rPr>
                <w:b/>
                <w:bCs/>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1.2</w:t>
            </w:r>
            <w:r/>
          </w:p>
        </w:tc>
        <w:tc>
          <w:tcPr>
            <w:tcW w:w="5611" w:type="dxa"/>
            <w:vAlign w:val="center"/>
            <w:textDirection w:val="lrTb"/>
            <w:noWrap w:val="false"/>
          </w:tcPr>
          <w:p>
            <w:pPr>
              <w:pStyle w:val="738"/>
              <w:jc w:val="both"/>
              <w:rPr>
                <w:b/>
                <w:bCs/>
              </w:rPr>
            </w:pPr>
            <w:r>
              <w:rPr>
                <w:color w:val="000000"/>
              </w:rPr>
              <w:t xml:space="preserve">Блок дверний металевий, клас вогнестійкості ЕІ 30, внутрішній, глухий, одностулкові 900х2100мм праві. Колір RAL 7024 з покриттям Маренго. Фурнітура в комплекті  чорного матового кольору, </w:t>
            </w:r>
            <w:r>
              <w:rPr>
                <w:color w:val="000000"/>
              </w:rPr>
              <w:t xml:space="preserve">дотягувач</w:t>
            </w:r>
            <w:r>
              <w:rPr>
                <w:color w:val="000000"/>
              </w:rPr>
              <w:t xml:space="preserve"> електромеханічний</w:t>
            </w:r>
            <w:r/>
          </w:p>
        </w:tc>
        <w:tc>
          <w:tcPr>
            <w:tcW w:w="1694" w:type="dxa"/>
            <w:vAlign w:val="center"/>
            <w:textDirection w:val="lrTb"/>
            <w:noWrap w:val="false"/>
          </w:tcPr>
          <w:p>
            <w:pPr>
              <w:pStyle w:val="738"/>
              <w:jc w:val="center"/>
              <w:rPr>
                <w:b/>
                <w:bCs/>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1.3</w:t>
            </w:r>
            <w:r/>
          </w:p>
        </w:tc>
        <w:tc>
          <w:tcPr>
            <w:tcW w:w="5611" w:type="dxa"/>
            <w:vAlign w:val="center"/>
            <w:textDirection w:val="lrTb"/>
            <w:noWrap w:val="false"/>
          </w:tcPr>
          <w:p>
            <w:pPr>
              <w:pStyle w:val="738"/>
              <w:jc w:val="both"/>
              <w:rPr>
                <w:b/>
                <w:bCs/>
              </w:rPr>
            </w:pPr>
            <w:r>
              <w:rPr>
                <w:color w:val="000000"/>
              </w:rPr>
              <w:t xml:space="preserve">Блок дверний металевий, клас вогнестійкості ЕІ 30, внутрішній, глухий, двостулкові 1200х2100мм праві. Колір RAL 7024 з покриттям Маренго. Фурнітура в комплекті чорного матового кольору, </w:t>
            </w:r>
            <w:r>
              <w:rPr>
                <w:color w:val="000000"/>
              </w:rPr>
              <w:t xml:space="preserve">дотягувач</w:t>
            </w:r>
            <w:r>
              <w:rPr>
                <w:color w:val="000000"/>
              </w:rPr>
              <w:t xml:space="preserve"> електромеханічний</w:t>
            </w:r>
            <w:r/>
          </w:p>
        </w:tc>
        <w:tc>
          <w:tcPr>
            <w:tcW w:w="1694" w:type="dxa"/>
            <w:vAlign w:val="center"/>
            <w:textDirection w:val="lrTb"/>
            <w:noWrap w:val="false"/>
          </w:tcPr>
          <w:p>
            <w:pPr>
              <w:pStyle w:val="738"/>
              <w:jc w:val="center"/>
              <w:rPr>
                <w:b/>
                <w:bCs/>
              </w:rPr>
            </w:pPr>
            <w:r>
              <w:rPr>
                <w:color w:val="000000"/>
              </w:rPr>
              <w:t xml:space="preserve">6</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1.4</w:t>
            </w:r>
            <w:r/>
          </w:p>
        </w:tc>
        <w:tc>
          <w:tcPr>
            <w:tcW w:w="5611" w:type="dxa"/>
            <w:vAlign w:val="center"/>
            <w:textDirection w:val="lrTb"/>
            <w:noWrap w:val="false"/>
          </w:tcPr>
          <w:p>
            <w:pPr>
              <w:pStyle w:val="738"/>
              <w:jc w:val="both"/>
              <w:rPr>
                <w:b/>
                <w:bCs/>
              </w:rPr>
            </w:pPr>
            <w:r>
              <w:rPr>
                <w:color w:val="000000"/>
              </w:rPr>
              <w:t xml:space="preserve">Блок дверний металевий, клас вогнестійкості ЕІ 30, внутрішній, глухий, одностулкові 900х2100мм ліві. Колір RAL 7024 з покриттям Маренго. Фурнітура в комплекті чорного матового кольору, </w:t>
            </w:r>
            <w:r>
              <w:rPr>
                <w:color w:val="000000"/>
              </w:rPr>
              <w:t xml:space="preserve">дотягувач</w:t>
            </w:r>
            <w:r>
              <w:rPr>
                <w:color w:val="000000"/>
              </w:rPr>
              <w:t xml:space="preserve"> електромеханічний</w:t>
            </w:r>
            <w:r/>
          </w:p>
        </w:tc>
        <w:tc>
          <w:tcPr>
            <w:tcW w:w="1694" w:type="dxa"/>
            <w:vAlign w:val="center"/>
            <w:textDirection w:val="lrTb"/>
            <w:noWrap w:val="false"/>
          </w:tcPr>
          <w:p>
            <w:pPr>
              <w:pStyle w:val="738"/>
              <w:jc w:val="center"/>
              <w:rPr>
                <w:b/>
                <w:bCs/>
              </w:rPr>
            </w:pPr>
            <w:r>
              <w:rPr>
                <w:color w:val="000000"/>
              </w:rPr>
              <w:t xml:space="preserve">2</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1.5</w:t>
            </w:r>
            <w:r/>
          </w:p>
        </w:tc>
        <w:tc>
          <w:tcPr>
            <w:tcW w:w="5611" w:type="dxa"/>
            <w:vAlign w:val="center"/>
            <w:textDirection w:val="lrTb"/>
            <w:noWrap w:val="false"/>
          </w:tcPr>
          <w:p>
            <w:pPr>
              <w:pStyle w:val="738"/>
              <w:jc w:val="both"/>
              <w:rPr>
                <w:b/>
                <w:bCs/>
              </w:rPr>
            </w:pPr>
            <w:r>
              <w:rPr>
                <w:color w:val="000000"/>
              </w:rPr>
              <w:t xml:space="preserve">Блок дверний металевий, клас вогнестійкості ЕІ 30, внутрішній, глухий, одностулкові 900х2000мм праві. Колір RAL 7024 з покриттям Маренго. Фурнітура в </w:t>
            </w:r>
            <w:r>
              <w:rPr>
                <w:color w:val="000000"/>
              </w:rPr>
              <w:t xml:space="preserve">комплекті чорного матового кольору, </w:t>
            </w:r>
            <w:r>
              <w:rPr>
                <w:color w:val="000000"/>
              </w:rPr>
              <w:t xml:space="preserve">дотягувач</w:t>
            </w:r>
            <w:r>
              <w:rPr>
                <w:color w:val="000000"/>
              </w:rPr>
              <w:t xml:space="preserve"> електромеханічний</w:t>
            </w:r>
            <w:r/>
          </w:p>
        </w:tc>
        <w:tc>
          <w:tcPr>
            <w:tcW w:w="1694" w:type="dxa"/>
            <w:vAlign w:val="center"/>
            <w:textDirection w:val="lrTb"/>
            <w:noWrap w:val="false"/>
          </w:tcPr>
          <w:p>
            <w:pPr>
              <w:pStyle w:val="738"/>
              <w:jc w:val="center"/>
              <w:rPr>
                <w:b/>
                <w:bCs/>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1.6</w:t>
            </w:r>
            <w:r/>
          </w:p>
        </w:tc>
        <w:tc>
          <w:tcPr>
            <w:tcW w:w="5611" w:type="dxa"/>
            <w:vAlign w:val="center"/>
            <w:textDirection w:val="lrTb"/>
            <w:noWrap w:val="false"/>
          </w:tcPr>
          <w:p>
            <w:pPr>
              <w:pStyle w:val="738"/>
              <w:jc w:val="both"/>
              <w:rPr>
                <w:b/>
                <w:bCs/>
              </w:rPr>
            </w:pPr>
            <w:r>
              <w:rPr>
                <w:color w:val="000000"/>
              </w:rPr>
              <w:t xml:space="preserve">Блок дверний металевий, клас вогнестійкості ЕІ 30, зовнішній, глухий, одностулкові 1000х2100мм праві. Колір RAL 7024 з покриттям Маренго. Фурнітура в комплекті чорного матового кольору, </w:t>
            </w:r>
            <w:r>
              <w:rPr>
                <w:color w:val="000000"/>
              </w:rPr>
              <w:t xml:space="preserve">дотягувач</w:t>
            </w:r>
            <w:r>
              <w:rPr>
                <w:color w:val="000000"/>
              </w:rPr>
              <w:t xml:space="preserve"> електромеханічний</w:t>
            </w:r>
            <w:r/>
          </w:p>
        </w:tc>
        <w:tc>
          <w:tcPr>
            <w:tcW w:w="1694" w:type="dxa"/>
            <w:vAlign w:val="center"/>
            <w:textDirection w:val="lrTb"/>
            <w:noWrap w:val="false"/>
          </w:tcPr>
          <w:p>
            <w:pPr>
              <w:pStyle w:val="738"/>
              <w:jc w:val="center"/>
              <w:rPr>
                <w:b/>
                <w:bCs/>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1.7</w:t>
            </w:r>
            <w:r/>
          </w:p>
        </w:tc>
        <w:tc>
          <w:tcPr>
            <w:tcW w:w="5611" w:type="dxa"/>
            <w:vAlign w:val="center"/>
            <w:textDirection w:val="lrTb"/>
            <w:noWrap w:val="false"/>
          </w:tcPr>
          <w:p>
            <w:pPr>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Посилені герметичні двері ДУ-IV для </w:t>
            </w:r>
            <w:r>
              <w:rPr>
                <w:rFonts w:ascii="Times New Roman" w:hAnsi="Times New Roman" w:cs="Times New Roman"/>
                <w:color w:val="000000"/>
                <w:sz w:val="24"/>
                <w:szCs w:val="24"/>
              </w:rPr>
              <w:t xml:space="preserve">уриттів</w:t>
            </w:r>
            <w:r>
              <w:rPr>
                <w:rFonts w:ascii="Times New Roman" w:hAnsi="Times New Roman" w:cs="Times New Roman"/>
                <w:color w:val="000000"/>
                <w:sz w:val="24"/>
                <w:szCs w:val="24"/>
              </w:rPr>
              <w:t xml:space="preserve"> 1200х2000мм (ТУ У 25.1-38587375-001:2016), одностулкові, колір RAL 7024</w:t>
            </w:r>
            <w:r/>
          </w:p>
        </w:tc>
        <w:tc>
          <w:tcPr>
            <w:tcW w:w="1694" w:type="dxa"/>
            <w:vAlign w:val="center"/>
            <w:textDirection w:val="lrTb"/>
            <w:noWrap w:val="false"/>
          </w:tcPr>
          <w:p>
            <w:pPr>
              <w:pStyle w:val="738"/>
              <w:jc w:val="center"/>
              <w:rPr>
                <w:b/>
                <w:bCs/>
              </w:rPr>
            </w:pPr>
            <w:r>
              <w:rPr>
                <w:color w:val="000000"/>
              </w:rPr>
              <w:t xml:space="preserve">4</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1.8</w:t>
            </w:r>
            <w:r/>
          </w:p>
        </w:tc>
        <w:tc>
          <w:tcPr>
            <w:tcW w:w="5611" w:type="dxa"/>
            <w:vAlign w:val="center"/>
            <w:textDirection w:val="lrTb"/>
            <w:noWrap w:val="false"/>
          </w:tcPr>
          <w:p>
            <w:pPr>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Блок дверний МДФ внутрішній, з покриттям Маренго, глухий, одностулкові, 2080х890мм з лиштвою - відкривання зовнішнє ліве. Фурнітура в комплекті, колір - матовий чорний, чорний ущільнювач,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rPr>
            </w:pPr>
            <w:r>
              <w:rPr>
                <w:color w:val="000000"/>
              </w:rPr>
              <w:t xml:space="preserve">9</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1.9</w:t>
            </w:r>
            <w:r/>
          </w:p>
        </w:tc>
        <w:tc>
          <w:tcPr>
            <w:tcW w:w="5611" w:type="dxa"/>
            <w:vAlign w:val="center"/>
            <w:textDirection w:val="lrTb"/>
            <w:noWrap w:val="false"/>
          </w:tcPr>
          <w:p>
            <w:pPr>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Блок дверний МДФ внутрішній, з покриттям Маренго, глухий, одностулкові, 2080х890мм з лиштвою - відкривання зовнішнє праве. Фурнітура в комплекті, колір - матовий чорний, чорний ущільнювач,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rPr>
            </w:pPr>
            <w:r>
              <w:rPr>
                <w:color w:val="000000"/>
              </w:rPr>
              <w:t xml:space="preserve">5</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1.10</w:t>
            </w:r>
            <w:r/>
          </w:p>
        </w:tc>
        <w:tc>
          <w:tcPr>
            <w:tcW w:w="5611" w:type="dxa"/>
            <w:vAlign w:val="center"/>
            <w:textDirection w:val="lrTb"/>
            <w:noWrap w:val="false"/>
          </w:tcPr>
          <w:p>
            <w:pPr>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Блок дверний МДФ внутрішній, з покриттям Маренго, глухий, одностулкові, 2080х790мм з лиштвою - відкривання зовнішнє праве. Фурнітура в комплекті, колір - матовий чорний, чорний ущільнювач,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rPr>
            </w:pPr>
            <w:r>
              <w:rPr>
                <w:color w:val="000000"/>
              </w:rPr>
              <w:t xml:space="preserve">3</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1.11</w:t>
            </w:r>
            <w:r/>
          </w:p>
        </w:tc>
        <w:tc>
          <w:tcPr>
            <w:tcW w:w="5611" w:type="dxa"/>
            <w:vAlign w:val="center"/>
            <w:textDirection w:val="lrTb"/>
            <w:noWrap w:val="false"/>
          </w:tcPr>
          <w:p>
            <w:pPr>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Блок дверний МДФ внутрішній, з покриттям Маренго, глухий, одностулкові, 2080х790мм з лиштвою - відкривання зовнішнє ліве. Фурнітура в комплекті, колір - матовий чорний, чорний ущільнювач,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rPr>
            </w:pPr>
            <w:r>
              <w:rPr>
                <w:color w:val="000000"/>
              </w:rPr>
              <w:t xml:space="preserve">3</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1.12</w:t>
            </w:r>
            <w:r/>
          </w:p>
        </w:tc>
        <w:tc>
          <w:tcPr>
            <w:tcW w:w="5611" w:type="dxa"/>
            <w:vAlign w:val="center"/>
            <w:textDirection w:val="lrTb"/>
            <w:noWrap w:val="false"/>
          </w:tcPr>
          <w:p>
            <w:pPr>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Блок дверний металевий, клас вогнестійкості ЕІ 30, зовнішній, глухий, одностулкові 1000х2150мм ліві.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rPr>
            </w:pPr>
            <w:r>
              <w:rPr>
                <w:color w:val="000000"/>
              </w:rPr>
              <w:t xml:space="preserve">2</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1.13</w:t>
            </w:r>
            <w:r/>
          </w:p>
        </w:tc>
        <w:tc>
          <w:tcPr>
            <w:tcW w:w="5611" w:type="dxa"/>
            <w:vAlign w:val="center"/>
            <w:textDirection w:val="lrTb"/>
            <w:noWrap w:val="false"/>
          </w:tcPr>
          <w:p>
            <w:pPr>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Блок дверний металевий, клас вогнестійкості ЕІ 30, зовнішній, глухий, двостулкові 1200х2150мм праві.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1.14</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зовнішній, глухий, одностулкові 850х2400мм ліві.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2</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1.15</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зовнішній, глухий, одностулкові 750х1400мм праві.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1.16</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внутрішній, глухий, одностулкові 900х2100мм ліві. Колір RAL 7024 з покриттям Маренго. Фурнітура в </w:t>
            </w:r>
            <w:r>
              <w:rPr>
                <w:rFonts w:ascii="Times New Roman" w:hAnsi="Times New Roman" w:cs="Times New Roman"/>
                <w:color w:val="000000"/>
                <w:sz w:val="24"/>
                <w:szCs w:val="24"/>
              </w:rPr>
              <w:t xml:space="preserve">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7</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1.17</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внутрішній, глухий, одностулкові 900х2100мм праві.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5</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1.18</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внутрішній, глухий, двостулкові 1200х2100мм ліві.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6</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1.19</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внутрішній, глухий, двостулкові 1200х2100мм праві.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1.20</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внутрішній, глухий, одностулкові 1000х2100мм ліві.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1.21</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внутрішній, глухий, двостулкові 1200х2100мм ліві.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2</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1.22</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внутрішній, глухий, одностулкові 900х2000мм праві.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2</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1.23</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внутрішній, глухий, одностулкові 900х2000мм ліві.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1.24</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зовнішній, глухий, одностулкові 1000х2100мм праві.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1.25</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МДФ внутрішній, з покриттям Маренго, глухий, одностулкові, 2080х890мм з лиштвою, доборами - відкривання зовнішнє ліве. Фурнітура в комплекті, колір - матовий чорний, чорний ущільнювач,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2</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1.26</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МДФ внутрішній, з покриттям Маренго, глухий, одностулкові, 2080х890мм з лиштвою - відкривання зовнішнє праве. Фурнітура в комплекті, колір - матовий чорний, чорний ущільнювач,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3</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1.27</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МДФ внутрішній, з покриттям Маренго, глухий, одностулкові, 2080х790мм з </w:t>
            </w:r>
            <w:r>
              <w:rPr>
                <w:rFonts w:ascii="Times New Roman" w:hAnsi="Times New Roman" w:cs="Times New Roman"/>
                <w:color w:val="000000"/>
                <w:sz w:val="24"/>
                <w:szCs w:val="24"/>
              </w:rPr>
              <w:t xml:space="preserve">лиштвою - відкривання зовнішнє ліве. Фурнітура в комплекті, колір - матовий чорний, чорний ущільнювач,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1.28</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МДФ внутрішній, з покриттям Маренго, глухий, одностулкові, 2080х790мм з лиштвою - відкривання зовнішнє праве. Фурнітура в комплекті, колір - матовий чорний, чорний ущільнювач,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6</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1.29</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МДФ внутрішній, з покриттям Маренго, глухий, одностулкові, 2080х990мм з лиштвою - відкривання зовнішнє праве. Фурнітура в комплекті, колір - матовий чорний, чорний ущільнювач,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1.30</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внутрішній, глухий, </w:t>
            </w:r>
            <w:r>
              <w:rPr>
                <w:rFonts w:ascii="Times New Roman" w:hAnsi="Times New Roman" w:cs="Times New Roman"/>
                <w:color w:val="000000"/>
                <w:sz w:val="24"/>
                <w:szCs w:val="24"/>
              </w:rPr>
              <w:t xml:space="preserve">двополотний</w:t>
            </w:r>
            <w:r>
              <w:rPr>
                <w:rFonts w:ascii="Times New Roman" w:hAnsi="Times New Roman" w:cs="Times New Roman"/>
                <w:color w:val="000000"/>
                <w:sz w:val="24"/>
                <w:szCs w:val="24"/>
              </w:rPr>
              <w:t xml:space="preserve"> 1200х2100мм праві.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1.31</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МДФ внутрішній, з покриттям Маренго, глухий, </w:t>
            </w:r>
            <w:r>
              <w:rPr>
                <w:rFonts w:ascii="Times New Roman" w:hAnsi="Times New Roman" w:cs="Times New Roman"/>
                <w:color w:val="000000"/>
                <w:sz w:val="24"/>
                <w:szCs w:val="24"/>
              </w:rPr>
              <w:t xml:space="preserve">однополотний</w:t>
            </w:r>
            <w:r>
              <w:rPr>
                <w:rFonts w:ascii="Times New Roman" w:hAnsi="Times New Roman" w:cs="Times New Roman"/>
                <w:color w:val="000000"/>
                <w:sz w:val="24"/>
                <w:szCs w:val="24"/>
              </w:rPr>
              <w:t xml:space="preserve">, 2080х890мм з лиштвою - відкривання зовнішнє ліве. Фурнітура в комплекті, колір - матовий чорний, чорний ущільнювач,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2</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1.32</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МДФ внутрішній, з покриттям Маренго, глухий, </w:t>
            </w:r>
            <w:r>
              <w:rPr>
                <w:rFonts w:ascii="Times New Roman" w:hAnsi="Times New Roman" w:cs="Times New Roman"/>
                <w:color w:val="000000"/>
                <w:sz w:val="24"/>
                <w:szCs w:val="24"/>
              </w:rPr>
              <w:t xml:space="preserve">однополотний</w:t>
            </w:r>
            <w:r>
              <w:rPr>
                <w:rFonts w:ascii="Times New Roman" w:hAnsi="Times New Roman" w:cs="Times New Roman"/>
                <w:color w:val="000000"/>
                <w:sz w:val="24"/>
                <w:szCs w:val="24"/>
              </w:rPr>
              <w:t xml:space="preserve">, 22080х890мм з лиштвою - відкривання зовнішнє праве. Фурнітура в комплекті, колір - матовий чорний, чорний ущільнювач,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1.33</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внутрішній, глухий, одностулкові 900х2100мм ліві.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3</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1.34</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внутрішній, глухий, одностулкові 900х2100мм праві.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4</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1.35</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внутрішній, глухий, одностулкові 1000х2100мм ліві.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1.36</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внутрішній, глухий, двостулкові 1200х2100мм ліві.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2</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1.37</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внутрішній, глухий, двостулкові 1200х2100мм праві.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1.38</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зовнішній, глухий, одностулкові 1030х1060мм праві.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1.39</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металевий, клас вогнестійкості ЕІ 30, зовнішній, глухий, одностулкові 1850х950мм праві. Колір RAL 7024 з покриттям Маренго. Фурнітура в комплекті чорного матового кольору,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1.40</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МДФ внутрішній, з покриттям Маренго, глухий, одностулкові, 2080х890мм з лиштвою - відкривання зовнішнє ліве. Фурнітура в комплекті, колір - матовий чорний, чорний ущільнювач,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1</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1.41</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МДФ внутрішній, з покриттям Маренго, глухий, одностулкові, 2080х890мм з лиштвою - відкривання зовнішнє праве. Фурнітура в комплекті, колір - матовий чорний, чорний ущільнювач,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2</w:t>
            </w:r>
            <w:r/>
          </w:p>
        </w:tc>
        <w:tc>
          <w:tcPr>
            <w:tcW w:w="1693" w:type="dxa"/>
            <w:vAlign w:val="center"/>
            <w:textDirection w:val="lrTb"/>
            <w:noWrap w:val="false"/>
          </w:tcPr>
          <w:p>
            <w:pPr>
              <w:pStyle w:val="738"/>
              <w:jc w:val="center"/>
              <w:rPr>
                <w:b/>
                <w:bCs/>
              </w:rPr>
            </w:pPr>
            <w:r>
              <w:rPr>
                <w:color w:val="000000"/>
              </w:rPr>
              <w:t xml:space="preserve">шт</w:t>
            </w:r>
            <w:r/>
          </w:p>
        </w:tc>
      </w:tr>
      <w:tr>
        <w:trPr/>
        <w:tc>
          <w:tcPr>
            <w:tcW w:w="636" w:type="dxa"/>
            <w:vAlign w:val="center"/>
            <w:textDirection w:val="lrTb"/>
            <w:noWrap w:val="false"/>
          </w:tcPr>
          <w:p>
            <w:pPr>
              <w:pStyle w:val="738"/>
              <w:jc w:val="center"/>
              <w:rPr>
                <w:b/>
                <w:bCs/>
              </w:rPr>
            </w:pPr>
            <w:r>
              <w:rPr>
                <w:color w:val="000000"/>
              </w:rPr>
              <w:t xml:space="preserve">1.42</w:t>
            </w:r>
            <w:r/>
          </w:p>
        </w:tc>
        <w:tc>
          <w:tcPr>
            <w:tcW w:w="5611" w:type="dxa"/>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Блок дверний МДФ внутрішній, з покриттям Маренго, глухий, одностулкові, 2080х790мм з лиштвою - відкривання зовнішнє праве. Фурнітура в комплекті, колір - матовий чорний, чорний ущільнювач, </w:t>
            </w:r>
            <w:r>
              <w:rPr>
                <w:rFonts w:ascii="Times New Roman" w:hAnsi="Times New Roman" w:cs="Times New Roman"/>
                <w:color w:val="000000"/>
                <w:sz w:val="24"/>
                <w:szCs w:val="24"/>
              </w:rPr>
              <w:t xml:space="preserve">дотягувач</w:t>
            </w:r>
            <w:r>
              <w:rPr>
                <w:rFonts w:ascii="Times New Roman" w:hAnsi="Times New Roman" w:cs="Times New Roman"/>
                <w:color w:val="000000"/>
                <w:sz w:val="24"/>
                <w:szCs w:val="24"/>
              </w:rPr>
              <w:t xml:space="preserve"> електромеханічний</w:t>
            </w:r>
            <w:r/>
          </w:p>
        </w:tc>
        <w:tc>
          <w:tcPr>
            <w:tcW w:w="1694" w:type="dxa"/>
            <w:vAlign w:val="center"/>
            <w:textDirection w:val="lrTb"/>
            <w:noWrap w:val="false"/>
          </w:tcPr>
          <w:p>
            <w:pPr>
              <w:pStyle w:val="738"/>
              <w:jc w:val="center"/>
              <w:rPr>
                <w:b/>
                <w:bCs/>
                <w:color w:val="000000"/>
              </w:rPr>
            </w:pPr>
            <w:r>
              <w:rPr>
                <w:color w:val="000000"/>
              </w:rPr>
              <w:t xml:space="preserve">5</w:t>
            </w:r>
            <w:r/>
          </w:p>
        </w:tc>
        <w:tc>
          <w:tcPr>
            <w:tcW w:w="1693" w:type="dxa"/>
            <w:vAlign w:val="center"/>
            <w:textDirection w:val="lrTb"/>
            <w:noWrap w:val="false"/>
          </w:tcPr>
          <w:p>
            <w:pPr>
              <w:pStyle w:val="738"/>
              <w:jc w:val="center"/>
              <w:rPr>
                <w:b/>
                <w:bCs/>
              </w:rPr>
            </w:pPr>
            <w:r>
              <w:rPr>
                <w:color w:val="000000"/>
              </w:rPr>
              <w:t xml:space="preserve">шт</w:t>
            </w:r>
            <w:bookmarkEnd w:id="1"/>
            <w:r/>
          </w:p>
        </w:tc>
      </w:tr>
    </w:tbl>
    <w:p>
      <w:pPr>
        <w:pStyle w:val="738"/>
        <w:jc w:val="both"/>
        <w:spacing w:after="0" w:line="240" w:lineRule="auto"/>
        <w:rPr>
          <w:b/>
          <w:bCs/>
          <w:i/>
          <w:iCs/>
          <w:lang w:eastAsia="ru-RU"/>
        </w:rPr>
      </w:pPr>
      <w:r>
        <w:rPr>
          <w:b/>
          <w:bCs/>
          <w:i/>
          <w:iCs/>
          <w:lang w:eastAsia="ru-RU"/>
        </w:rPr>
      </w:r>
      <w:r/>
    </w:p>
    <w:p>
      <w:pPr>
        <w:pStyle w:val="738"/>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rPr>
          <w:b/>
          <w:bCs/>
          <w:i/>
          <w:iCs/>
        </w:rPr>
        <w:t xml:space="preserve">; монтаж Товару на об’єкті замовника, первинна перевірка та введення в експлуатацію Товару.</w:t>
      </w:r>
      <w:r/>
    </w:p>
    <w:p>
      <w:pPr>
        <w:pStyle w:val="738"/>
        <w:jc w:val="both"/>
        <w:spacing w:after="0" w:line="240" w:lineRule="auto"/>
        <w:rPr>
          <w:b/>
          <w:bCs/>
          <w:i/>
          <w:iCs/>
        </w:rPr>
      </w:pPr>
      <w:r>
        <w:rPr>
          <w:b/>
          <w:bCs/>
          <w:i/>
          <w:iCs/>
        </w:rPr>
      </w:r>
      <w:r/>
    </w:p>
    <w:p>
      <w:pPr>
        <w:pStyle w:val="738"/>
        <w:ind w:firstLine="567"/>
        <w:jc w:val="both"/>
        <w:spacing w:after="0" w:line="240" w:lineRule="auto"/>
        <w:rPr>
          <w:color w:val="000000" w:themeColor="text1"/>
          <w:shd w:val="clear" w:color="auto" w:fill="ffffff"/>
        </w:rPr>
      </w:pPr>
      <w:r/>
      <w:bookmarkStart w:id="2" w:name="_Hlk131598067"/>
      <w:r/>
      <w:bookmarkStart w:id="3" w:name="_Hlk173499091"/>
      <w:r>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Виконання постачання повинно здійснюватися  відповідно до діючих нормативно-правових документів та умов цього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Договору.</w:t>
      </w:r>
      <w:bookmarkStart w:id="4" w:name="_Hlk131682113"/>
      <w:r/>
      <w:bookmarkEnd w:id="2"/>
      <w:r/>
      <w:bookmarkEnd w:id="4"/>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Надати у складі пропозиції гарантійний лист, що Учасник гарантує постачання Товару та виконання супутніх послуг у строки встановлені в </w:t>
      </w:r>
      <w:r>
        <w:rPr>
          <w:rFonts w:ascii="Times New Roman" w:hAnsi="Times New Roman" w:cs="Times New Roman"/>
          <w:sz w:val="24"/>
          <w:szCs w:val="24"/>
        </w:rPr>
        <w:t xml:space="preserve">проєкті</w:t>
      </w:r>
      <w:r>
        <w:rPr>
          <w:rFonts w:ascii="Times New Roman" w:hAnsi="Times New Roman" w:cs="Times New Roman"/>
          <w:sz w:val="24"/>
          <w:szCs w:val="24"/>
        </w:rPr>
        <w:t xml:space="preserve"> Договору.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Уча</w:t>
      </w:r>
      <w:r>
        <w:rPr>
          <w:rFonts w:ascii="Times New Roman" w:hAnsi="Times New Roman" w:cs="Times New Roman"/>
          <w:sz w:val="24"/>
          <w:szCs w:val="24"/>
        </w:rPr>
        <w:t xml:space="preserve">снику необхідно відвідати та оглянути об’єкт Замовника де необхідно встановити предмет закупівлі та провести відповідні заміри (надані Замовником є орієнтовні, об’єкт будується) та розрахунки для точного прорахунку тендерної пропозиції та всіх матеріалів, </w:t>
      </w:r>
      <w:r>
        <w:rPr>
          <w:rFonts w:ascii="Times New Roman" w:hAnsi="Times New Roman" w:cs="Times New Roman"/>
          <w:sz w:val="24"/>
          <w:szCs w:val="24"/>
        </w:rPr>
        <w:t xml:space="preserve">обладнання та устаткування, що буде необхідне потенційному переможцю процедури закупівлі для виконання умов договору. Об’єкт де планується встановлення Товару знаходиться у м. Дніпро. Вся необхідна інформація буде надана потенці</w:t>
      </w:r>
      <w:r>
        <w:rPr>
          <w:rFonts w:ascii="Times New Roman" w:hAnsi="Times New Roman" w:cs="Times New Roman"/>
          <w:sz w:val="24"/>
          <w:szCs w:val="24"/>
        </w:rPr>
        <w:t xml:space="preserve">йним Учасникам за зверненням та при обстеженню об’єкта. Учаснику у складі тендерної пропозиції необхідно надати довідку/акт, будь який інший документ, що підтверджує проведення замірів та розрахунків Учасником на об’єкті Замовника із підписами обох сторін.</w:t>
      </w:r>
      <w:r/>
    </w:p>
    <w:p>
      <w:pPr>
        <w:ind w:firstLine="567"/>
        <w:jc w:val="both"/>
        <w:spacing w:after="0" w:line="240" w:lineRule="auto"/>
        <w:rPr>
          <w:rFonts w:ascii="Times New Roman" w:hAnsi="Times New Roman" w:cs="Times New Roman"/>
          <w:b/>
          <w:bCs/>
          <w:i/>
          <w:iCs/>
          <w:sz w:val="24"/>
          <w:szCs w:val="24"/>
        </w:rPr>
      </w:pPr>
      <w:r>
        <w:rPr>
          <w:rFonts w:ascii="Times New Roman" w:hAnsi="Times New Roman" w:cs="Times New Roman"/>
          <w:sz w:val="24"/>
          <w:szCs w:val="24"/>
        </w:rPr>
        <w:t xml:space="preserve">7. Учасник-переможець відвантажує Товар на склад Замовника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м. Київ) із документами, що підтверджують якість Товару та його кількісні характеристики (видаткові накладні та акт прийому-передачі Товару та паспор</w:t>
      </w:r>
      <w:r>
        <w:rPr>
          <w:rFonts w:ascii="Times New Roman" w:hAnsi="Times New Roman" w:cs="Times New Roman"/>
          <w:sz w:val="24"/>
          <w:szCs w:val="24"/>
        </w:rPr>
        <w:t xml:space="preserve">ти на Товар/сертифікати/тощо). Замовник перевіряє якість товару, повноту відвантаження та інші технічні характеристики предмету закупівлі, після чого Учасник-переможець власними силами транспортує (розвантаження, завантаження, транспортування) Товар до міс</w:t>
      </w:r>
      <w:r>
        <w:rPr>
          <w:rFonts w:ascii="Times New Roman" w:hAnsi="Times New Roman" w:cs="Times New Roman"/>
          <w:sz w:val="24"/>
          <w:szCs w:val="24"/>
        </w:rPr>
        <w:t xml:space="preserve">ця встановлення та проводить монтаж Товару на об’єкті Замовника, первинну перевірку та інші Заходи для передачі змонтованого Товару Замовнику, після чого Замовником будуть підписані видаткові накладні на Товар та Акти прийому-передачі змонтованого Товару. </w:t>
      </w:r>
      <w:r>
        <w:rPr>
          <w:rFonts w:ascii="Times New Roman" w:hAnsi="Times New Roman" w:cs="Times New Roman"/>
          <w:b/>
          <w:bCs/>
          <w:i/>
          <w:iCs/>
          <w:sz w:val="24"/>
          <w:szCs w:val="24"/>
        </w:rPr>
        <w:t xml:space="preserve">(надати гарантійний лист).</w:t>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bookmarkStart w:id="5" w:name="_Hlk174454961"/>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bookmarkEnd w:id="5"/>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567"/>
        <w:jc w:val="bot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r>
      <w:bookmarkEnd w:id="3"/>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34"/>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734"/>
        <w:ind w:left="0" w:firstLine="567"/>
        <w:jc w:val="both"/>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Інші характеристики предмета закупівлі, що не вказані Замовником в Специфікації </w:t>
      </w:r>
      <w:r>
        <w:rPr>
          <w:rFonts w:ascii="Times New Roman" w:hAnsi="Times New Roman" w:cs="Times New Roman"/>
          <w:color w:val="000000" w:themeColor="text1"/>
          <w:sz w:val="24"/>
          <w:szCs w:val="24"/>
          <w:lang w:val="uk-UA"/>
        </w:rPr>
        <w:t xml:space="preserve">уточнюються</w:t>
      </w:r>
      <w:r>
        <w:rPr>
          <w:rFonts w:ascii="Times New Roman" w:hAnsi="Times New Roman" w:cs="Times New Roman"/>
          <w:color w:val="000000" w:themeColor="text1"/>
          <w:sz w:val="24"/>
          <w:szCs w:val="24"/>
          <w:lang w:val="uk-UA"/>
        </w:rPr>
        <w:t xml:space="preserve"> при обстеженні об’єкта Учасником, з наданням пропозицій Замовнику та на вибір Замовника, у зв’язку із відсутністю кваліфікованих спеціалістів даного напрямку у Замовника.</w:t>
      </w:r>
      <w:r/>
    </w:p>
    <w:p>
      <w:pPr>
        <w:pStyle w:val="734"/>
        <w:ind w:left="0" w:firstLine="567"/>
        <w:jc w:val="both"/>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r>
      <w:r/>
    </w:p>
    <w:p>
      <w:pPr>
        <w:pStyle w:val="734"/>
        <w:ind w:left="0" w:firstLine="567"/>
        <w:jc w:val="both"/>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(всі двері діляться на три види):</w:t>
      </w:r>
      <w:r/>
    </w:p>
    <w:tbl>
      <w:tblPr>
        <w:tblW w:w="9689" w:type="dxa"/>
        <w:tblLook w:val="04A0" w:firstRow="1" w:lastRow="0" w:firstColumn="1" w:lastColumn="0" w:noHBand="0" w:noVBand="1"/>
      </w:tblPr>
      <w:tblGrid>
        <w:gridCol w:w="9689"/>
      </w:tblGrid>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Двері металеві протипожежні глухі одностулкові/двостулкові з покращеним захистом з середини (не менше 5 </w:t>
            </w:r>
            <w:r>
              <w:rPr>
                <w:rFonts w:ascii="Times New Roman" w:hAnsi="Times New Roman" w:cs="Times New Roman"/>
                <w:b/>
                <w:bCs/>
                <w:color w:val="000000"/>
                <w:sz w:val="24"/>
                <w:szCs w:val="24"/>
              </w:rPr>
              <w:t xml:space="preserve">ребер</w:t>
            </w:r>
            <w:r>
              <w:rPr>
                <w:rFonts w:ascii="Times New Roman" w:hAnsi="Times New Roman" w:cs="Times New Roman"/>
                <w:b/>
                <w:bCs/>
                <w:color w:val="000000"/>
                <w:sz w:val="24"/>
                <w:szCs w:val="24"/>
              </w:rPr>
              <w:t xml:space="preserve"> жорсткості) з лиштвою:</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Клас (межа) вогнестійкості – ЕІ 30;</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Завіси з однієї сторони  на опорних підшипниках – 3 </w:t>
            </w:r>
            <w:r>
              <w:rPr>
                <w:rFonts w:ascii="Times New Roman" w:hAnsi="Times New Roman" w:cs="Times New Roman"/>
                <w:color w:val="000000"/>
                <w:sz w:val="24"/>
                <w:szCs w:val="24"/>
              </w:rPr>
              <w:t xml:space="preserve">шт</w:t>
            </w:r>
            <w:r>
              <w:rPr>
                <w:rFonts w:ascii="Times New Roman" w:hAnsi="Times New Roman" w:cs="Times New Roman"/>
                <w:color w:val="000000"/>
                <w:sz w:val="24"/>
                <w:szCs w:val="24"/>
              </w:rPr>
              <w:t xml:space="preserve">; </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Дверний короб гнутий, сталевий (суцільний лист металу); </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Товщина металу короба –  не менше 1,5 мм;                                                </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Товщина металу дверного полотна –  не менше 1,0 мм; </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Товщина дверного короба – 70 мм; </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Товщина дверного полотна – 50 мм;</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Утеплення короба: мінеральна вата, </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Утеплення полотна - мінеральна вата, ззовні та з середини метал фарбований в колір  RAL 7024 з покриттям Маренго </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1-го </w:t>
            </w:r>
            <w:r>
              <w:rPr>
                <w:rFonts w:ascii="Times New Roman" w:hAnsi="Times New Roman" w:cs="Times New Roman"/>
                <w:color w:val="000000"/>
                <w:sz w:val="24"/>
                <w:szCs w:val="24"/>
              </w:rPr>
              <w:t xml:space="preserve">контура</w:t>
            </w:r>
            <w:r>
              <w:rPr>
                <w:rFonts w:ascii="Times New Roman" w:hAnsi="Times New Roman" w:cs="Times New Roman"/>
                <w:color w:val="000000"/>
                <w:sz w:val="24"/>
                <w:szCs w:val="24"/>
              </w:rPr>
              <w:t xml:space="preserve"> ущільнення, чорного кольору;</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Врізаний замок на 2 оберти – 1 </w:t>
            </w:r>
            <w:r>
              <w:rPr>
                <w:rFonts w:ascii="Times New Roman" w:hAnsi="Times New Roman" w:cs="Times New Roman"/>
                <w:color w:val="000000"/>
                <w:sz w:val="24"/>
                <w:szCs w:val="24"/>
              </w:rPr>
              <w:t xml:space="preserve">шт</w:t>
            </w:r>
            <w:r>
              <w:rPr>
                <w:rFonts w:ascii="Times New Roman" w:hAnsi="Times New Roman" w:cs="Times New Roman"/>
                <w:color w:val="000000"/>
                <w:sz w:val="24"/>
                <w:szCs w:val="24"/>
              </w:rPr>
              <w:t xml:space="preserve">, серцевина ключ/ключ, ручка замка </w:t>
            </w:r>
            <w:r>
              <w:rPr>
                <w:rFonts w:ascii="Times New Roman" w:hAnsi="Times New Roman" w:cs="Times New Roman"/>
                <w:color w:val="000000"/>
                <w:sz w:val="24"/>
                <w:szCs w:val="24"/>
              </w:rPr>
              <w:t xml:space="preserve">нажимна</w:t>
            </w:r>
            <w:r>
              <w:rPr>
                <w:rFonts w:ascii="Times New Roman" w:hAnsi="Times New Roman" w:cs="Times New Roman"/>
                <w:color w:val="000000"/>
                <w:sz w:val="24"/>
                <w:szCs w:val="24"/>
              </w:rPr>
              <w:t xml:space="preserve"> (за погодженням Замовника);</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Врізаний елемент </w:t>
            </w:r>
            <w:r>
              <w:rPr>
                <w:rFonts w:ascii="Times New Roman" w:hAnsi="Times New Roman" w:cs="Times New Roman"/>
                <w:color w:val="000000"/>
                <w:sz w:val="24"/>
                <w:szCs w:val="24"/>
              </w:rPr>
              <w:t xml:space="preserve">дотягувача</w:t>
            </w:r>
            <w:r>
              <w:rPr>
                <w:rFonts w:ascii="Times New Roman" w:hAnsi="Times New Roman" w:cs="Times New Roman"/>
                <w:color w:val="000000"/>
                <w:sz w:val="24"/>
                <w:szCs w:val="24"/>
              </w:rPr>
              <w:t xml:space="preserve"> електромеханічного – 1 </w:t>
            </w:r>
            <w:r>
              <w:rPr>
                <w:rFonts w:ascii="Times New Roman" w:hAnsi="Times New Roman" w:cs="Times New Roman"/>
                <w:color w:val="000000"/>
                <w:sz w:val="24"/>
                <w:szCs w:val="24"/>
              </w:rPr>
              <w:t xml:space="preserve">шт</w:t>
            </w:r>
            <w:r>
              <w:rPr>
                <w:rFonts w:ascii="Times New Roman" w:hAnsi="Times New Roman" w:cs="Times New Roman"/>
                <w:color w:val="000000"/>
                <w:sz w:val="24"/>
                <w:szCs w:val="24"/>
              </w:rPr>
              <w:t xml:space="preserve">; </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Розміри та відкривання згідно </w:t>
            </w:r>
            <w:r>
              <w:rPr>
                <w:rFonts w:ascii="Times New Roman" w:hAnsi="Times New Roman" w:cs="Times New Roman"/>
                <w:color w:val="000000"/>
                <w:sz w:val="24"/>
                <w:szCs w:val="24"/>
              </w:rPr>
              <w:t xml:space="preserve">проєкту</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Двері посилені герметичні двері ДУ-IV для </w:t>
            </w:r>
            <w:r>
              <w:rPr>
                <w:rFonts w:ascii="Times New Roman" w:hAnsi="Times New Roman" w:cs="Times New Roman"/>
                <w:b/>
                <w:bCs/>
                <w:color w:val="000000"/>
                <w:sz w:val="24"/>
                <w:szCs w:val="24"/>
              </w:rPr>
              <w:t xml:space="preserve">уриттів</w:t>
            </w:r>
            <w:r>
              <w:rPr>
                <w:rFonts w:ascii="Times New Roman" w:hAnsi="Times New Roman" w:cs="Times New Roman"/>
                <w:b/>
                <w:bCs/>
                <w:color w:val="000000"/>
                <w:sz w:val="24"/>
                <w:szCs w:val="24"/>
              </w:rPr>
              <w:t xml:space="preserve"> 1200х2000мм (ТУ У 25.1-38587375-001:2016) </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Захист від ударної хвилі P=100 кПа (1 </w:t>
            </w:r>
            <w:r>
              <w:rPr>
                <w:rFonts w:ascii="Times New Roman" w:hAnsi="Times New Roman" w:cs="Times New Roman"/>
                <w:color w:val="000000"/>
                <w:sz w:val="24"/>
                <w:szCs w:val="24"/>
              </w:rPr>
              <w:t xml:space="preserve">кгс</w:t>
            </w:r>
            <w:r>
              <w:rPr>
                <w:rFonts w:ascii="Times New Roman" w:hAnsi="Times New Roman" w:cs="Times New Roman"/>
                <w:color w:val="000000"/>
                <w:sz w:val="24"/>
                <w:szCs w:val="24"/>
              </w:rPr>
              <w:t xml:space="preserve">/см2)</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Вертикальні та горизонтальні сталеві ребра жорсткості</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Металева дверна коробка спеціального профілю - 75 мм</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Посилені петлі (універсальна ліва/права)</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Механізм задраювання з рукоятками з обох боків</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Герметизуючий</w:t>
            </w:r>
            <w:r>
              <w:rPr>
                <w:rFonts w:ascii="Times New Roman" w:hAnsi="Times New Roman" w:cs="Times New Roman"/>
                <w:color w:val="000000"/>
                <w:sz w:val="24"/>
                <w:szCs w:val="24"/>
              </w:rPr>
              <w:t xml:space="preserve"> ущільнювач по периметру полотна </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Механізм зачинення, який забезпечує герметизацію за </w:t>
            </w:r>
            <w:r>
              <w:rPr>
                <w:rFonts w:ascii="Times New Roman" w:hAnsi="Times New Roman" w:cs="Times New Roman"/>
                <w:color w:val="000000"/>
                <w:sz w:val="24"/>
                <w:szCs w:val="24"/>
              </w:rPr>
              <w:t xml:space="preserve">домопогою</w:t>
            </w:r>
            <w:r>
              <w:rPr>
                <w:rFonts w:ascii="Times New Roman" w:hAnsi="Times New Roman" w:cs="Times New Roman"/>
                <w:color w:val="000000"/>
                <w:sz w:val="24"/>
                <w:szCs w:val="24"/>
              </w:rPr>
              <w:t xml:space="preserve"> спеціального ущільнення та запобігає відчиненню дверей під дією вибухових навантажень. Навіси є частиною механізму зачинення і також розраховані на відповідні </w:t>
            </w:r>
            <w:r>
              <w:rPr>
                <w:rFonts w:ascii="Times New Roman" w:hAnsi="Times New Roman" w:cs="Times New Roman"/>
                <w:color w:val="000000"/>
                <w:sz w:val="24"/>
                <w:szCs w:val="24"/>
              </w:rPr>
              <w:t xml:space="preserve">навантаженння</w:t>
            </w:r>
            <w:r>
              <w:rPr>
                <w:rFonts w:ascii="Times New Roman" w:hAnsi="Times New Roman" w:cs="Times New Roman"/>
                <w:color w:val="000000"/>
                <w:sz w:val="24"/>
                <w:szCs w:val="24"/>
              </w:rPr>
              <w:t xml:space="preserve">.</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Антикорозійний захист </w:t>
            </w:r>
            <w:r>
              <w:rPr>
                <w:rFonts w:ascii="Times New Roman" w:hAnsi="Times New Roman" w:cs="Times New Roman"/>
                <w:color w:val="000000"/>
                <w:sz w:val="24"/>
                <w:szCs w:val="24"/>
              </w:rPr>
              <w:t xml:space="preserve">грунтом</w:t>
            </w:r>
            <w:r>
              <w:rPr>
                <w:rFonts w:ascii="Times New Roman" w:hAnsi="Times New Roman" w:cs="Times New Roman"/>
                <w:color w:val="000000"/>
                <w:sz w:val="24"/>
                <w:szCs w:val="24"/>
              </w:rPr>
              <w:t xml:space="preserve"> та фінішне покриття порошковою фарбою RAL 7024</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Утеплення - </w:t>
            </w:r>
            <w:r>
              <w:rPr>
                <w:rFonts w:ascii="Times New Roman" w:hAnsi="Times New Roman" w:cs="Times New Roman"/>
                <w:color w:val="000000"/>
                <w:sz w:val="24"/>
                <w:szCs w:val="24"/>
              </w:rPr>
              <w:t xml:space="preserve">відсутне</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Двері внутрішні МДФ глухі одностулкові з лиштвою:</w:t>
            </w:r>
            <w:r/>
          </w:p>
        </w:tc>
      </w:tr>
      <w:tr>
        <w:trPr>
          <w:trHeight w:val="300"/>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Полотно без чверті - товщиною 40 мм.</w:t>
            </w:r>
            <w:r/>
          </w:p>
        </w:tc>
      </w:tr>
      <w:tr>
        <w:trPr>
          <w:trHeight w:val="300"/>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Полотно з чвертю – товщиною 52 мм.</w:t>
            </w:r>
            <w:r/>
          </w:p>
        </w:tc>
      </w:tr>
      <w:tr>
        <w:trPr>
          <w:trHeight w:val="570"/>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Каркас дверного полотна виготовляють зі зрощеного дерев’яного брусу. Міцності конструкції додають ребра жорсткості.</w:t>
            </w:r>
            <w:r/>
          </w:p>
        </w:tc>
      </w:tr>
      <w:tr>
        <w:trPr>
          <w:trHeight w:val="300"/>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Заповнення полотна: рейкове або трубчасте ДСП.</w:t>
            </w:r>
            <w:r/>
          </w:p>
        </w:tc>
      </w:tr>
      <w:tr>
        <w:trPr>
          <w:trHeight w:val="300"/>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Рама разом з наповнювачем обклеєна з двох сторін плитами HDF.</w:t>
            </w:r>
            <w:r/>
          </w:p>
        </w:tc>
      </w:tr>
      <w:tr>
        <w:trPr>
          <w:trHeight w:val="300"/>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Зовнішнє покриття - MDF 8мм колір Маренго</w:t>
            </w:r>
            <w:r/>
          </w:p>
        </w:tc>
      </w:tr>
      <w:tr>
        <w:trPr>
          <w:trHeight w:val="300"/>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Один контур ущільнення, чорного кольору;</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Врізаний замок на 2 оберти – 1 </w:t>
            </w:r>
            <w:r>
              <w:rPr>
                <w:rFonts w:ascii="Times New Roman" w:hAnsi="Times New Roman" w:cs="Times New Roman"/>
                <w:color w:val="000000"/>
                <w:sz w:val="24"/>
                <w:szCs w:val="24"/>
              </w:rPr>
              <w:t xml:space="preserve">шт</w:t>
            </w:r>
            <w:r>
              <w:rPr>
                <w:rFonts w:ascii="Times New Roman" w:hAnsi="Times New Roman" w:cs="Times New Roman"/>
                <w:color w:val="000000"/>
                <w:sz w:val="24"/>
                <w:szCs w:val="24"/>
              </w:rPr>
              <w:t xml:space="preserve">, серцевина ключ/ключ, ручка замка </w:t>
            </w:r>
            <w:r>
              <w:rPr>
                <w:rFonts w:ascii="Times New Roman" w:hAnsi="Times New Roman" w:cs="Times New Roman"/>
                <w:color w:val="000000"/>
                <w:sz w:val="24"/>
                <w:szCs w:val="24"/>
              </w:rPr>
              <w:t xml:space="preserve">нажимна</w:t>
            </w:r>
            <w:r>
              <w:rPr>
                <w:rFonts w:ascii="Times New Roman" w:hAnsi="Times New Roman" w:cs="Times New Roman"/>
                <w:color w:val="000000"/>
                <w:sz w:val="24"/>
                <w:szCs w:val="24"/>
              </w:rPr>
              <w:t xml:space="preserve"> (за погодженням Замовника);</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Врізаний елемент </w:t>
            </w:r>
            <w:r>
              <w:rPr>
                <w:rFonts w:ascii="Times New Roman" w:hAnsi="Times New Roman" w:cs="Times New Roman"/>
                <w:color w:val="000000"/>
                <w:sz w:val="24"/>
                <w:szCs w:val="24"/>
              </w:rPr>
              <w:t xml:space="preserve">дотягувача</w:t>
            </w:r>
            <w:r>
              <w:rPr>
                <w:rFonts w:ascii="Times New Roman" w:hAnsi="Times New Roman" w:cs="Times New Roman"/>
                <w:color w:val="000000"/>
                <w:sz w:val="24"/>
                <w:szCs w:val="24"/>
              </w:rPr>
              <w:t xml:space="preserve"> електромеханічного – 1 </w:t>
            </w:r>
            <w:r>
              <w:rPr>
                <w:rFonts w:ascii="Times New Roman" w:hAnsi="Times New Roman" w:cs="Times New Roman"/>
                <w:color w:val="000000"/>
                <w:sz w:val="24"/>
                <w:szCs w:val="24"/>
              </w:rPr>
              <w:t xml:space="preserve">шт</w:t>
            </w:r>
            <w:r>
              <w:rPr>
                <w:rFonts w:ascii="Times New Roman" w:hAnsi="Times New Roman" w:cs="Times New Roman"/>
                <w:color w:val="000000"/>
                <w:sz w:val="24"/>
                <w:szCs w:val="24"/>
              </w:rPr>
              <w:t xml:space="preserve">; </w:t>
            </w:r>
            <w:r/>
          </w:p>
        </w:tc>
      </w:tr>
      <w:tr>
        <w:trPr>
          <w:trHeight w:val="315"/>
        </w:trPr>
        <w:tc>
          <w:tcPr>
            <w:shd w:val="clear" w:color="auto" w:fill="auto"/>
            <w:tcBorders>
              <w:top w:val="none" w:color="000000" w:sz="4" w:space="0"/>
              <w:left w:val="none" w:color="000000" w:sz="4" w:space="0"/>
              <w:bottom w:val="none" w:color="000000" w:sz="4" w:space="0"/>
              <w:right w:val="none" w:color="000000" w:sz="4" w:space="0"/>
            </w:tcBorders>
            <w:tcW w:w="9689"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Розміри та відкривання згідно </w:t>
            </w:r>
            <w:r>
              <w:rPr>
                <w:rFonts w:ascii="Times New Roman" w:hAnsi="Times New Roman" w:cs="Times New Roman"/>
                <w:color w:val="000000"/>
                <w:sz w:val="24"/>
                <w:szCs w:val="24"/>
              </w:rPr>
              <w:t xml:space="preserve">проєкту</w:t>
            </w:r>
            <w:r/>
          </w:p>
        </w:tc>
      </w:tr>
    </w:tbl>
    <w:p>
      <w:pPr>
        <w:ind w:left="927"/>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contextualSpacing/>
        <w:ind w:right="-1" w:firstLine="567"/>
        <w:jc w:val="both"/>
        <w:spacing w:after="0"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w:t>
      </w:r>
      <w:r>
        <w:rPr>
          <w:rFonts w:ascii="Times New Roman" w:hAnsi="Times New Roman" w:cs="Times New Roman"/>
          <w:bCs/>
          <w:color w:val="000000" w:themeColor="text1"/>
          <w:sz w:val="24"/>
          <w:szCs w:val="24"/>
        </w:rPr>
        <w:t xml:space="preserve">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2 839 787</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97</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два мільйони вісімсот тридцять дев’ять тисяч сімсот вісімдесят сім</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97</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99"/>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99"/>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166</cp:revision>
  <dcterms:created xsi:type="dcterms:W3CDTF">2022-11-01T12:47:00Z</dcterms:created>
  <dcterms:modified xsi:type="dcterms:W3CDTF">2024-08-19T13:34:52Z</dcterms:modified>
</cp:coreProperties>
</file>