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77"/>
        <w:ind w:left="0"/>
        <w:rPr>
          <w:rFonts w:ascii="Times New Roman" w:hAnsi="Times New Roman"/>
          <w:bCs/>
          <w:color w:val="000000" w:themeColor="text1"/>
          <w:sz w:val="24"/>
          <w:szCs w:val="24"/>
          <w:shd w:val="clear" w:color="auto" w:fill="ffffff"/>
        </w:rPr>
      </w:pPr>
      <w:r>
        <w:rPr>
          <w:rFonts w:ascii="Times New Roman" w:hAnsi="Times New Roman"/>
          <w:b/>
          <w:sz w:val="24"/>
          <w:szCs w:val="24"/>
        </w:rPr>
        <w:t xml:space="preserve">2. Назва предм</w:t>
      </w:r>
      <w:r>
        <w:rPr>
          <w:rFonts w:ascii="Times New Roman" w:hAnsi="Times New Roman"/>
          <w:b/>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rFonts w:ascii="Times New Roman" w:hAnsi="Times New Roman" w:eastAsiaTheme="minorHAnsi"/>
          <w:bCs/>
          <w:sz w:val="24"/>
          <w:szCs w:val="24"/>
        </w:rPr>
        <w:t xml:space="preserve">Закупівля систем протипожежного захисту за ДК 021:2015: 35110000-8 Протипожежне, рятувальне та захисне обладнання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05</w:t>
      </w:r>
      <w:r>
        <w:rPr>
          <w:rFonts w:ascii="Times New Roman" w:hAnsi="Times New Roman" w:cs="Times New Roman"/>
          <w:sz w:val="24"/>
          <w:szCs w:val="24"/>
        </w:rPr>
        <w:t xml:space="preserve">-</w:t>
      </w:r>
      <w:r>
        <w:rPr>
          <w:rFonts w:ascii="Times New Roman" w:hAnsi="Times New Roman" w:cs="Times New Roman"/>
          <w:sz w:val="24"/>
          <w:szCs w:val="24"/>
        </w:rPr>
        <w:t xml:space="preserve">010201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lang w:eastAsia="ru-RU"/>
        </w:rPr>
        <w:t xml:space="preserve">4. Обґрунтування технічних та якісних характеристик предмета закупівлі:  </w:t>
      </w:r>
      <w:r>
        <w:rPr>
          <w:rFonts w:ascii="Times New Roman" w:hAnsi="Times New Roman"/>
          <w:bCs/>
          <w:sz w:val="24"/>
          <w:szCs w:val="24"/>
        </w:rPr>
        <w:t xml:space="preserve">Закупівля систем протипожежного захисту </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71"/>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73"/>
              <w:jc w:val="center"/>
              <w:rPr>
                <w:b/>
                <w:bCs/>
              </w:rPr>
            </w:pPr>
            <w:r>
              <w:rPr>
                <w:b/>
                <w:bCs/>
              </w:rPr>
              <w:t xml:space="preserve">№ п/п</w:t>
            </w:r>
            <w:r/>
          </w:p>
        </w:tc>
        <w:tc>
          <w:tcPr>
            <w:tcW w:w="5670" w:type="dxa"/>
            <w:textDirection w:val="lrTb"/>
            <w:noWrap w:val="false"/>
          </w:tcPr>
          <w:p>
            <w:pPr>
              <w:pStyle w:val="673"/>
              <w:jc w:val="center"/>
              <w:rPr>
                <w:b/>
                <w:bCs/>
              </w:rPr>
            </w:pPr>
            <w:r>
              <w:rPr>
                <w:b/>
                <w:bCs/>
              </w:rPr>
              <w:t xml:space="preserve">Назва системи</w:t>
            </w:r>
            <w:r/>
          </w:p>
        </w:tc>
        <w:tc>
          <w:tcPr>
            <w:tcW w:w="1701" w:type="dxa"/>
            <w:textDirection w:val="lrTb"/>
            <w:noWrap w:val="false"/>
          </w:tcPr>
          <w:p>
            <w:pPr>
              <w:pStyle w:val="673"/>
              <w:jc w:val="center"/>
              <w:rPr>
                <w:b/>
                <w:bCs/>
              </w:rPr>
            </w:pPr>
            <w:r>
              <w:rPr>
                <w:b/>
                <w:bCs/>
              </w:rPr>
              <w:t xml:space="preserve">Одиниця виміру</w:t>
            </w:r>
            <w:r/>
          </w:p>
        </w:tc>
        <w:tc>
          <w:tcPr>
            <w:tcW w:w="1701" w:type="dxa"/>
            <w:textDirection w:val="lrTb"/>
            <w:noWrap w:val="false"/>
          </w:tcPr>
          <w:p>
            <w:pPr>
              <w:pStyle w:val="673"/>
              <w:jc w:val="center"/>
              <w:rPr>
                <w:b/>
                <w:bCs/>
              </w:rPr>
            </w:pPr>
            <w:r>
              <w:rPr>
                <w:b/>
                <w:bCs/>
              </w:rPr>
              <w:t xml:space="preserve">Кількість</w:t>
            </w:r>
            <w:r/>
          </w:p>
        </w:tc>
      </w:tr>
      <w:tr>
        <w:trPr/>
        <w:tc>
          <w:tcPr>
            <w:tcW w:w="562" w:type="dxa"/>
            <w:textDirection w:val="lrTb"/>
            <w:noWrap w:val="false"/>
          </w:tcPr>
          <w:p>
            <w:pPr>
              <w:pStyle w:val="673"/>
              <w:jc w:val="center"/>
            </w:pPr>
            <w:r>
              <w:t xml:space="preserve">1.</w:t>
            </w:r>
            <w:r/>
          </w:p>
        </w:tc>
        <w:tc>
          <w:tcPr>
            <w:tcW w:w="5670" w:type="dxa"/>
            <w:textDirection w:val="lrTb"/>
            <w:noWrap w:val="false"/>
          </w:tcPr>
          <w:p>
            <w:pPr>
              <w:pStyle w:val="673"/>
              <w:jc w:val="both"/>
              <w:rPr>
                <w:b/>
                <w:bCs/>
              </w:rPr>
            </w:pPr>
            <w:r>
              <w:rPr>
                <w:b/>
                <w:bCs/>
              </w:rPr>
              <w:t xml:space="preserve">Система газового пожежогасіння</w:t>
            </w:r>
            <w:r/>
          </w:p>
        </w:tc>
        <w:tc>
          <w:tcPr>
            <w:tcW w:w="1701" w:type="dxa"/>
            <w:textDirection w:val="lrTb"/>
            <w:noWrap w:val="false"/>
          </w:tcPr>
          <w:p>
            <w:pPr>
              <w:pStyle w:val="673"/>
              <w:jc w:val="center"/>
            </w:pPr>
            <w:r>
              <w:t xml:space="preserve">шт.</w:t>
            </w:r>
            <w:r/>
          </w:p>
        </w:tc>
        <w:tc>
          <w:tcPr>
            <w:tcW w:w="1701" w:type="dxa"/>
            <w:textDirection w:val="lrTb"/>
            <w:noWrap w:val="false"/>
          </w:tcPr>
          <w:p>
            <w:pPr>
              <w:pStyle w:val="673"/>
              <w:jc w:val="center"/>
            </w:pPr>
            <w:r>
              <w:t xml:space="preserve">1</w:t>
            </w:r>
            <w:r/>
          </w:p>
        </w:tc>
      </w:tr>
      <w:tr>
        <w:trPr/>
        <w:tc>
          <w:tcPr>
            <w:tcW w:w="562" w:type="dxa"/>
            <w:textDirection w:val="lrTb"/>
            <w:noWrap w:val="false"/>
          </w:tcPr>
          <w:p>
            <w:pPr>
              <w:pStyle w:val="673"/>
              <w:jc w:val="center"/>
            </w:pPr>
            <w:r>
              <w:t xml:space="preserve">2.</w:t>
            </w:r>
            <w:r/>
          </w:p>
        </w:tc>
        <w:tc>
          <w:tcPr>
            <w:tcW w:w="5670" w:type="dxa"/>
            <w:textDirection w:val="lrTb"/>
            <w:noWrap w:val="false"/>
          </w:tcPr>
          <w:p>
            <w:pPr>
              <w:pStyle w:val="673"/>
              <w:jc w:val="both"/>
              <w:rPr>
                <w:b/>
                <w:bCs/>
              </w:rPr>
            </w:pPr>
            <w:r>
              <w:rPr>
                <w:b/>
                <w:bCs/>
              </w:rPr>
              <w:t xml:space="preserve">Система автоматики протипожежних клапанів та пожежних кранів</w:t>
            </w:r>
            <w:r/>
          </w:p>
        </w:tc>
        <w:tc>
          <w:tcPr>
            <w:tcW w:w="1701" w:type="dxa"/>
            <w:textDirection w:val="lrTb"/>
            <w:noWrap w:val="false"/>
          </w:tcPr>
          <w:p>
            <w:pPr>
              <w:pStyle w:val="673"/>
              <w:jc w:val="center"/>
            </w:pPr>
            <w:r>
              <w:t xml:space="preserve">шт.</w:t>
            </w:r>
            <w:r/>
          </w:p>
        </w:tc>
        <w:tc>
          <w:tcPr>
            <w:tcW w:w="1701" w:type="dxa"/>
            <w:textDirection w:val="lrTb"/>
            <w:noWrap w:val="false"/>
          </w:tcPr>
          <w:p>
            <w:pPr>
              <w:pStyle w:val="673"/>
              <w:jc w:val="center"/>
            </w:pPr>
            <w:r>
              <w:t xml:space="preserve">1</w:t>
            </w:r>
            <w:r/>
          </w:p>
        </w:tc>
      </w:tr>
    </w:tbl>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p>
      <w:pPr>
        <w:pStyle w:val="673"/>
        <w:jc w:val="both"/>
        <w:spacing w:after="0"/>
        <w:rPr>
          <w:b/>
          <w:bCs/>
          <w:i/>
          <w:iCs/>
        </w:rPr>
      </w:pPr>
      <w:r>
        <w:rPr>
          <w:b/>
          <w:bCs/>
          <w:i/>
          <w:iCs/>
          <w:lang w:eastAsia="ru-RU"/>
        </w:rPr>
        <w:t xml:space="preserve">У ціну мають бути включені прямі, загальновиробничі та адміністративні витра</w:t>
      </w:r>
      <w:r>
        <w:rPr>
          <w:b/>
          <w:bCs/>
          <w:i/>
          <w:iCs/>
          <w:lang w:eastAsia="ru-RU"/>
        </w:rPr>
        <w:t xml:space="preserve">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w:t>
      </w:r>
      <w:r>
        <w:rPr>
          <w:b/>
          <w:bCs/>
          <w:i/>
          <w:iCs/>
          <w:lang w:eastAsia="ru-RU"/>
        </w:rPr>
        <w:t xml:space="preserve">продажу</w:t>
      </w:r>
      <w:r>
        <w:rPr>
          <w:b/>
          <w:bCs/>
          <w:i/>
          <w:iCs/>
          <w:lang w:eastAsia="ru-RU"/>
        </w:rPr>
        <w:t xml:space="preserve">, кошти на покриття ризиків та/а</w:t>
      </w:r>
      <w:r>
        <w:rPr>
          <w:b/>
          <w:bCs/>
          <w:i/>
          <w:iCs/>
          <w:lang w:eastAsia="ru-RU"/>
        </w:rPr>
        <w:t xml:space="preserve">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цього </w:t>
      </w:r>
      <w:r>
        <w:rPr>
          <w:b/>
          <w:bCs/>
          <w:i/>
          <w:iCs/>
          <w:lang w:eastAsia="ru-RU"/>
        </w:rPr>
        <w:t xml:space="preserve">проєкту</w:t>
      </w:r>
      <w:r>
        <w:rPr>
          <w:b/>
          <w:bCs/>
          <w:i/>
          <w:iCs/>
          <w:lang w:eastAsia="ru-RU"/>
        </w:rPr>
        <w:t xml:space="preserve"> </w:t>
      </w:r>
      <w:r>
        <w:rPr>
          <w:b/>
          <w:bCs/>
          <w:i/>
          <w:iCs/>
          <w:lang w:eastAsia="ru-RU"/>
        </w:rPr>
        <w:t xml:space="preserve">Договору до моменту його повного завершення; монтаж, </w:t>
      </w:r>
      <w:r>
        <w:rPr>
          <w:b/>
          <w:bCs/>
          <w:i/>
          <w:iCs/>
          <w:lang w:eastAsia="ru-RU"/>
        </w:rPr>
        <w:t xml:space="preserve">пусконалагоджування</w:t>
      </w:r>
      <w:r>
        <w:rPr>
          <w:b/>
          <w:bCs/>
          <w:i/>
          <w:iCs/>
          <w:lang w:eastAsia="ru-RU"/>
        </w:rPr>
        <w:t xml:space="preserve"> (введення в експлуатацію) Товару</w:t>
      </w:r>
      <w:r/>
    </w:p>
    <w:p>
      <w:pPr>
        <w:pStyle w:val="673"/>
        <w:ind w:firstLine="567"/>
        <w:jc w:val="both"/>
        <w:spacing w:after="0" w:line="240" w:lineRule="auto"/>
        <w:rPr>
          <w:color w:val="000000" w:themeColor="text1"/>
          <w:shd w:val="clear" w:color="auto" w:fill="ffffff"/>
        </w:rPr>
      </w:pPr>
      <w:r/>
      <w:bookmarkStart w:id="0"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обладнання систем </w:t>
      </w:r>
      <w:r>
        <w:rPr>
          <w:rFonts w:ascii="Times New Roman" w:hAnsi="Times New Roman" w:cs="Times New Roman"/>
          <w:sz w:val="24"/>
          <w:szCs w:val="24"/>
        </w:rPr>
        <w:t xml:space="preserve">пожежного захисту</w:t>
      </w:r>
      <w:r>
        <w:rPr>
          <w:rFonts w:ascii="Times New Roman" w:hAnsi="Times New Roman" w:cs="Times New Roman"/>
          <w:sz w:val="24"/>
          <w:szCs w:val="24"/>
        </w:rPr>
        <w:t xml:space="preserve">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w:t>
      </w:r>
      <w:r/>
    </w:p>
    <w:p>
      <w:pPr>
        <w:ind w:firstLine="567"/>
        <w:jc w:val="both"/>
        <w:spacing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у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End w:id="0"/>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Учаснику необхідно у складі </w:t>
      </w:r>
      <w:r>
        <w:rPr>
          <w:rFonts w:ascii="Times New Roman" w:hAnsi="Times New Roman" w:cs="Times New Roman"/>
          <w:sz w:val="24"/>
          <w:szCs w:val="24"/>
        </w:rPr>
        <w:t xml:space="preserve">тендерної пропозиції надати гарантійний лист від виробника Товару, що виробник надає гарантії на поставку Товару в строки та обсяги визначеними умовами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69"/>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 СИСТЕМ:</w:t>
      </w:r>
      <w:r/>
    </w:p>
    <w:p>
      <w:pPr>
        <w:pStyle w:val="669"/>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671"/>
        <w:tblW w:w="9622" w:type="dxa"/>
        <w:tblLook w:val="04A0" w:firstRow="1" w:lastRow="0" w:firstColumn="1" w:lastColumn="0" w:noHBand="0" w:noVBand="1"/>
      </w:tblPr>
      <w:tblGrid>
        <w:gridCol w:w="457"/>
        <w:gridCol w:w="6344"/>
        <w:gridCol w:w="1427"/>
        <w:gridCol w:w="1394"/>
      </w:tblGrid>
      <w:tr>
        <w:trPr/>
        <w:tc>
          <w:tcPr>
            <w:gridSpan w:val="4"/>
            <w:tcW w:w="9622" w:type="dxa"/>
            <w:textDirection w:val="lrTb"/>
            <w:noWrap w:val="false"/>
          </w:tcPr>
          <w:p>
            <w:pPr>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Система газового пожежогасіння</w:t>
            </w:r>
            <w:r>
              <w:rPr>
                <w:rFonts w:ascii="Times New Roman" w:hAnsi="Times New Roman" w:cs="Times New Roman"/>
                <w:sz w:val="24"/>
                <w:szCs w:val="24"/>
              </w:rPr>
              <w:t xml:space="preserve">, </w:t>
            </w:r>
            <w:r>
              <w:rPr>
                <w:rFonts w:ascii="Times New Roman" w:hAnsi="Times New Roman" w:cs="Times New Roman"/>
                <w:i/>
                <w:iCs/>
                <w:sz w:val="24"/>
                <w:szCs w:val="24"/>
              </w:rPr>
              <w:t xml:space="preserve">у складі:</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Прилад управління системою</w:t>
            </w:r>
            <w:r/>
          </w:p>
          <w:p>
            <w:pPr>
              <w:contextualSpacing/>
              <w:rPr>
                <w:rFonts w:ascii="Times New Roman" w:hAnsi="Times New Roman" w:cs="Times New Roman"/>
                <w:sz w:val="24"/>
                <w:szCs w:val="24"/>
              </w:rPr>
            </w:pPr>
            <w:r>
              <w:rPr>
                <w:rFonts w:ascii="Times New Roman" w:hAnsi="Times New Roman" w:cs="Times New Roman"/>
                <w:sz w:val="24"/>
                <w:szCs w:val="24"/>
              </w:rPr>
              <w:t xml:space="preserve">стаціонарного пожежогасіння </w:t>
            </w:r>
            <w:r>
              <w:rPr>
                <w:rFonts w:ascii="Times New Roman" w:hAnsi="Times New Roman" w:cs="Times New Roman"/>
                <w:sz w:val="24"/>
                <w:szCs w:val="24"/>
              </w:rPr>
              <w:t xml:space="preserve">ПУіЗ</w:t>
            </w:r>
            <w:r>
              <w:rPr>
                <w:rFonts w:ascii="Times New Roman" w:hAnsi="Times New Roman" w:cs="Times New Roman"/>
                <w:sz w:val="24"/>
                <w:szCs w:val="24"/>
              </w:rPr>
              <w:t xml:space="preserve"> "</w:t>
            </w:r>
            <w:r>
              <w:rPr>
                <w:rFonts w:ascii="Times New Roman" w:hAnsi="Times New Roman" w:cs="Times New Roman"/>
                <w:sz w:val="24"/>
                <w:szCs w:val="24"/>
              </w:rPr>
              <w:t xml:space="preserve">Тірас</w:t>
            </w:r>
            <w:r>
              <w:rPr>
                <w:rFonts w:ascii="Times New Roman" w:hAnsi="Times New Roman" w:cs="Times New Roman"/>
                <w:sz w:val="24"/>
                <w:szCs w:val="24"/>
              </w:rPr>
              <w:t xml:space="preserve">-</w:t>
            </w:r>
            <w:r/>
          </w:p>
          <w:p>
            <w:pPr>
              <w:contextualSpacing/>
              <w:rPr>
                <w:rFonts w:ascii="Times New Roman" w:hAnsi="Times New Roman" w:cs="Times New Roman"/>
                <w:sz w:val="24"/>
                <w:szCs w:val="24"/>
              </w:rPr>
            </w:pPr>
            <w:r>
              <w:rPr>
                <w:rFonts w:ascii="Times New Roman" w:hAnsi="Times New Roman" w:cs="Times New Roman"/>
                <w:sz w:val="24"/>
                <w:szCs w:val="24"/>
              </w:rPr>
              <w:t xml:space="preserve">1"</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Акумуляторна батарея АКБ 12В, 9А/ч</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Модуль адресний AM-</w:t>
            </w:r>
            <w:r>
              <w:rPr>
                <w:rFonts w:ascii="Times New Roman" w:hAnsi="Times New Roman" w:cs="Times New Roman"/>
                <w:sz w:val="24"/>
                <w:szCs w:val="24"/>
              </w:rPr>
              <w:t xml:space="preserve">Converter</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Блок живлення БЖ-2415 24В</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Сповіщувач пожежний димовий</w:t>
            </w:r>
            <w:r/>
          </w:p>
          <w:p>
            <w:pPr>
              <w:contextualSpacing/>
              <w:rPr>
                <w:rFonts w:ascii="Times New Roman" w:hAnsi="Times New Roman" w:cs="Times New Roman"/>
                <w:sz w:val="24"/>
                <w:szCs w:val="24"/>
              </w:rPr>
            </w:pPr>
            <w:r>
              <w:rPr>
                <w:rFonts w:ascii="Times New Roman" w:hAnsi="Times New Roman" w:cs="Times New Roman"/>
                <w:sz w:val="24"/>
                <w:szCs w:val="24"/>
              </w:rPr>
              <w:t xml:space="preserve">адресний СПДА (DETECTO SMK 100)</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36</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Сповіщувач пожежний димовий</w:t>
            </w:r>
            <w:r/>
          </w:p>
          <w:p>
            <w:pPr>
              <w:contextualSpacing/>
              <w:rPr>
                <w:rFonts w:ascii="Times New Roman" w:hAnsi="Times New Roman" w:cs="Times New Roman"/>
                <w:sz w:val="24"/>
                <w:szCs w:val="24"/>
              </w:rPr>
            </w:pPr>
            <w:r>
              <w:rPr>
                <w:rFonts w:ascii="Times New Roman" w:hAnsi="Times New Roman" w:cs="Times New Roman"/>
                <w:sz w:val="24"/>
                <w:szCs w:val="24"/>
              </w:rPr>
              <w:t xml:space="preserve">адресний СПДА (DETECTO SMK 100)</w:t>
            </w:r>
            <w:r/>
          </w:p>
          <w:p>
            <w:pPr>
              <w:contextualSpacing/>
              <w:rPr>
                <w:rFonts w:ascii="Times New Roman" w:hAnsi="Times New Roman" w:cs="Times New Roman"/>
                <w:sz w:val="24"/>
                <w:szCs w:val="24"/>
              </w:rPr>
            </w:pPr>
            <w:r>
              <w:rPr>
                <w:rFonts w:ascii="Times New Roman" w:hAnsi="Times New Roman" w:cs="Times New Roman"/>
                <w:sz w:val="24"/>
                <w:szCs w:val="24"/>
              </w:rPr>
              <w:t xml:space="preserve">резерв</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Пристрій аварійного зупинення</w:t>
            </w:r>
            <w:r/>
          </w:p>
          <w:p>
            <w:pPr>
              <w:contextualSpacing/>
              <w:rPr>
                <w:rFonts w:ascii="Times New Roman" w:hAnsi="Times New Roman" w:cs="Times New Roman"/>
                <w:sz w:val="24"/>
                <w:szCs w:val="24"/>
              </w:rPr>
            </w:pPr>
            <w:r>
              <w:rPr>
                <w:rFonts w:ascii="Times New Roman" w:hAnsi="Times New Roman" w:cs="Times New Roman"/>
                <w:sz w:val="24"/>
                <w:szCs w:val="24"/>
              </w:rPr>
              <w:t xml:space="preserve">пожежогасіння ПАЗ "</w:t>
            </w:r>
            <w:r>
              <w:rPr>
                <w:rFonts w:ascii="Times New Roman" w:hAnsi="Times New Roman" w:cs="Times New Roman"/>
                <w:sz w:val="24"/>
                <w:szCs w:val="24"/>
              </w:rPr>
              <w:t xml:space="preserve">Тірас</w:t>
            </w:r>
            <w:r>
              <w:rPr>
                <w:rFonts w:ascii="Times New Roman" w:hAnsi="Times New Roman" w:cs="Times New Roman"/>
                <w:sz w:val="24"/>
                <w:szCs w:val="24"/>
              </w:rPr>
              <w:t xml:space="preserve">"</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Пристрій ручного запуска пожежогасіння</w:t>
            </w:r>
            <w:r/>
          </w:p>
          <w:p>
            <w:pPr>
              <w:contextualSpacing/>
              <w:rPr>
                <w:rFonts w:ascii="Times New Roman" w:hAnsi="Times New Roman" w:cs="Times New Roman"/>
                <w:sz w:val="24"/>
                <w:szCs w:val="24"/>
              </w:rPr>
            </w:pPr>
            <w:r>
              <w:rPr>
                <w:rFonts w:ascii="Times New Roman" w:hAnsi="Times New Roman" w:cs="Times New Roman"/>
                <w:sz w:val="24"/>
                <w:szCs w:val="24"/>
              </w:rPr>
              <w:t xml:space="preserve">ПРЗ "</w:t>
            </w:r>
            <w:r>
              <w:rPr>
                <w:rFonts w:ascii="Times New Roman" w:hAnsi="Times New Roman" w:cs="Times New Roman"/>
                <w:sz w:val="24"/>
                <w:szCs w:val="24"/>
              </w:rPr>
              <w:t xml:space="preserve">Тірас</w:t>
            </w:r>
            <w:r>
              <w:rPr>
                <w:rFonts w:ascii="Times New Roman" w:hAnsi="Times New Roman" w:cs="Times New Roman"/>
                <w:sz w:val="24"/>
                <w:szCs w:val="24"/>
              </w:rPr>
              <w:t xml:space="preserve">"</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Оповіщувач світловий ОС-1 "Вихід"</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Гучномовець настінний BRAND-AUDIO-</w:t>
            </w:r>
            <w:r/>
          </w:p>
          <w:p>
            <w:pPr>
              <w:contextualSpacing/>
              <w:rPr>
                <w:rFonts w:ascii="Times New Roman" w:hAnsi="Times New Roman" w:cs="Times New Roman"/>
                <w:sz w:val="24"/>
                <w:szCs w:val="24"/>
              </w:rPr>
            </w:pPr>
            <w:r>
              <w:rPr>
                <w:rFonts w:ascii="Times New Roman" w:hAnsi="Times New Roman" w:cs="Times New Roman"/>
                <w:sz w:val="24"/>
                <w:szCs w:val="24"/>
              </w:rPr>
              <w:t xml:space="preserve">WL-3</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39</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Сповіщувач </w:t>
            </w:r>
            <w:r>
              <w:rPr>
                <w:rFonts w:ascii="Times New Roman" w:hAnsi="Times New Roman" w:cs="Times New Roman"/>
                <w:sz w:val="24"/>
                <w:szCs w:val="24"/>
              </w:rPr>
              <w:t xml:space="preserve">магнітоконтактний</w:t>
            </w:r>
            <w:r>
              <w:rPr>
                <w:rFonts w:ascii="Times New Roman" w:hAnsi="Times New Roman" w:cs="Times New Roman"/>
                <w:sz w:val="24"/>
                <w:szCs w:val="24"/>
              </w:rPr>
              <w:t xml:space="preserve"> СОМК 1-8</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Модуль газового пожежогасіння МГП</w:t>
            </w:r>
            <w:r/>
          </w:p>
          <w:p>
            <w:pPr>
              <w:contextualSpacing/>
              <w:rPr>
                <w:rFonts w:ascii="Times New Roman" w:hAnsi="Times New Roman" w:cs="Times New Roman"/>
                <w:sz w:val="24"/>
                <w:szCs w:val="24"/>
              </w:rPr>
            </w:pPr>
            <w:r>
              <w:rPr>
                <w:rFonts w:ascii="Times New Roman" w:hAnsi="Times New Roman" w:cs="Times New Roman"/>
                <w:sz w:val="24"/>
                <w:szCs w:val="24"/>
              </w:rPr>
              <w:t xml:space="preserve">"Імпульс-22" (40-22,5-18) ПТПА-ЕКМ</w:t>
            </w:r>
            <w:r/>
          </w:p>
          <w:p>
            <w:pPr>
              <w:contextualSpacing/>
              <w:rPr>
                <w:rFonts w:ascii="Times New Roman" w:hAnsi="Times New Roman" w:cs="Times New Roman"/>
                <w:sz w:val="24"/>
                <w:szCs w:val="24"/>
              </w:rPr>
            </w:pPr>
            <w:r>
              <w:rPr>
                <w:rFonts w:ascii="Times New Roman" w:hAnsi="Times New Roman" w:cs="Times New Roman"/>
                <w:sz w:val="24"/>
                <w:szCs w:val="24"/>
              </w:rPr>
              <w:t xml:space="preserve">МГП.1--22.1 (вогнегасна речовина FK-5-1-</w:t>
            </w:r>
            <w:r/>
          </w:p>
          <w:p>
            <w:pPr>
              <w:contextualSpacing/>
              <w:rPr>
                <w:rFonts w:ascii="Times New Roman" w:hAnsi="Times New Roman" w:cs="Times New Roman"/>
                <w:sz w:val="24"/>
                <w:szCs w:val="24"/>
              </w:rPr>
            </w:pPr>
            <w:r>
              <w:rPr>
                <w:rFonts w:ascii="Times New Roman" w:hAnsi="Times New Roman" w:cs="Times New Roman"/>
                <w:sz w:val="24"/>
                <w:szCs w:val="24"/>
              </w:rPr>
              <w:t xml:space="preserve">12-21,51 кг)</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13</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Монтаж системи</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послуг</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14</w:t>
            </w:r>
            <w:r/>
          </w:p>
        </w:tc>
        <w:tc>
          <w:tcPr>
            <w:tcW w:w="6344"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Пусконалагоджування</w:t>
            </w:r>
            <w:r/>
          </w:p>
        </w:tc>
        <w:tc>
          <w:tcPr>
            <w:tcW w:w="142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послуг</w:t>
            </w:r>
            <w:r/>
          </w:p>
        </w:tc>
        <w:tc>
          <w:tcPr>
            <w:tcW w:w="1394"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bl>
      <w:tblPr>
        <w:tblStyle w:val="671"/>
        <w:tblW w:w="9622" w:type="dxa"/>
        <w:tblLook w:val="04A0" w:firstRow="1" w:lastRow="0" w:firstColumn="1" w:lastColumn="0" w:noHBand="0" w:noVBand="1"/>
      </w:tblPr>
      <w:tblGrid>
        <w:gridCol w:w="451"/>
        <w:gridCol w:w="6348"/>
        <w:gridCol w:w="1428"/>
        <w:gridCol w:w="1395"/>
      </w:tblGrid>
      <w:tr>
        <w:trPr/>
        <w:tc>
          <w:tcPr>
            <w:gridSpan w:val="4"/>
            <w:tcW w:w="9622" w:type="dxa"/>
            <w:textDirection w:val="lrTb"/>
            <w:noWrap w:val="false"/>
          </w:tcPr>
          <w:p>
            <w:pPr>
              <w:contextualSpacing/>
              <w:jc w:val="both"/>
              <w:rPr>
                <w:rFonts w:ascii="Times New Roman" w:hAnsi="Times New Roman" w:cs="Times New Roman"/>
                <w:sz w:val="24"/>
                <w:szCs w:val="24"/>
              </w:rPr>
            </w:pPr>
            <w:r>
              <w:rPr>
                <w:rFonts w:ascii="Times New Roman" w:hAnsi="Times New Roman" w:cs="Times New Roman"/>
                <w:b/>
                <w:bCs/>
                <w:sz w:val="24"/>
                <w:szCs w:val="24"/>
              </w:rPr>
              <w:t xml:space="preserve">Система автоматики протипожежних клапанів та пожежних кранів</w:t>
            </w:r>
            <w:r>
              <w:rPr>
                <w:rFonts w:ascii="Times New Roman" w:hAnsi="Times New Roman" w:cs="Times New Roman"/>
                <w:sz w:val="24"/>
                <w:szCs w:val="24"/>
              </w:rPr>
              <w:t xml:space="preserve">, </w:t>
            </w:r>
            <w:r>
              <w:rPr>
                <w:rFonts w:ascii="Times New Roman" w:hAnsi="Times New Roman" w:cs="Times New Roman"/>
                <w:i/>
                <w:iCs/>
                <w:sz w:val="24"/>
                <w:szCs w:val="24"/>
              </w:rPr>
              <w:t xml:space="preserve">у складі:</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6348"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Універсальний адресний модуль</w:t>
            </w:r>
            <w:r/>
          </w:p>
          <w:p>
            <w:pPr>
              <w:contextualSpacing/>
              <w:rPr>
                <w:rFonts w:ascii="Times New Roman" w:hAnsi="Times New Roman" w:cs="Times New Roman"/>
                <w:sz w:val="24"/>
                <w:szCs w:val="24"/>
              </w:rPr>
            </w:pPr>
            <w:r>
              <w:rPr>
                <w:rFonts w:ascii="Times New Roman" w:hAnsi="Times New Roman" w:cs="Times New Roman"/>
                <w:sz w:val="24"/>
                <w:szCs w:val="24"/>
              </w:rPr>
              <w:t xml:space="preserve">розширення з </w:t>
            </w:r>
            <w:r>
              <w:rPr>
                <w:rFonts w:ascii="Times New Roman" w:hAnsi="Times New Roman" w:cs="Times New Roman"/>
                <w:sz w:val="24"/>
                <w:szCs w:val="24"/>
              </w:rPr>
              <w:t xml:space="preserve">вбудованним</w:t>
            </w:r>
            <w:r>
              <w:rPr>
                <w:rFonts w:ascii="Times New Roman" w:hAnsi="Times New Roman" w:cs="Times New Roman"/>
                <w:sz w:val="24"/>
                <w:szCs w:val="24"/>
              </w:rPr>
              <w:t xml:space="preserve"> блоком</w:t>
            </w:r>
            <w:r/>
          </w:p>
          <w:p>
            <w:pPr>
              <w:contextualSpacing/>
              <w:rPr>
                <w:rFonts w:ascii="Times New Roman" w:hAnsi="Times New Roman" w:cs="Times New Roman"/>
                <w:sz w:val="24"/>
                <w:szCs w:val="24"/>
              </w:rPr>
            </w:pPr>
            <w:r>
              <w:rPr>
                <w:rFonts w:ascii="Times New Roman" w:hAnsi="Times New Roman" w:cs="Times New Roman"/>
                <w:sz w:val="24"/>
                <w:szCs w:val="24"/>
              </w:rPr>
              <w:t xml:space="preserve">живлення AM-MUL TI</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6348"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Акумуляторна батарея АКБ 12В, 9А/ч</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6348"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Модуль адресний AM-IN4</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6348"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Адресна виносна панель керування та</w:t>
            </w:r>
            <w:r/>
          </w:p>
          <w:p>
            <w:pPr>
              <w:contextualSpacing/>
              <w:rPr>
                <w:rFonts w:ascii="Times New Roman" w:hAnsi="Times New Roman" w:cs="Times New Roman"/>
                <w:sz w:val="24"/>
                <w:szCs w:val="24"/>
              </w:rPr>
            </w:pPr>
            <w:r>
              <w:rPr>
                <w:rFonts w:ascii="Times New Roman" w:hAnsi="Times New Roman" w:cs="Times New Roman"/>
                <w:sz w:val="24"/>
                <w:szCs w:val="24"/>
              </w:rPr>
              <w:t xml:space="preserve">індикації AM-BTN</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W w:w="6348"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Монтаж системи</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послуг</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W w:w="6348"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rPr>
              <w:t xml:space="preserve">Пусконалагоджування</w:t>
            </w:r>
            <w:r/>
          </w:p>
        </w:tc>
        <w:tc>
          <w:tcPr>
            <w:tcW w:w="142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послуг</w:t>
            </w:r>
            <w:r/>
          </w:p>
        </w:tc>
        <w:tc>
          <w:tcPr>
            <w:tcW w:w="13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858 098,77</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вісімсот п’ятдесят вісім</w:t>
      </w:r>
      <w:r>
        <w:rPr>
          <w:rFonts w:ascii="Times New Roman" w:hAnsi="Times New Roman" w:eastAsia="Times New Roman" w:cs="Times New Roman"/>
          <w:sz w:val="24"/>
          <w:szCs w:val="24"/>
          <w:lang w:eastAsia="ru-RU"/>
        </w:rPr>
        <w:t xml:space="preserve">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дев’яносто вісім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77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
    <w:panose1 w:val="02020603050405020304"/>
  </w:font>
  <w:font w:name="Calibri">
    <w:panose1 w:val="020F050202020403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num w:numId="1">
    <w:abstractNumId w:val="7"/>
  </w:num>
  <w:num w:numId="2">
    <w:abstractNumId w:val="5"/>
  </w:num>
  <w:num w:numId="3">
    <w:abstractNumId w:val="2"/>
  </w:num>
  <w:num w:numId="4">
    <w:abstractNumId w:val="6"/>
  </w:num>
  <w:num w:numId="5">
    <w:abstractNumId w:val="1"/>
  </w:num>
  <w:num w:numId="6">
    <w:abstractNumId w:val="8"/>
  </w:num>
  <w:num w:numId="7">
    <w:abstractNumId w:val="3"/>
  </w:num>
  <w:num w:numId="8">
    <w:abstractNumId w:val="9"/>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5"/>
    <w:next w:val="665"/>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66"/>
    <w:link w:val="13"/>
    <w:uiPriority w:val="9"/>
    <w:rPr>
      <w:rFonts w:ascii="Arial" w:hAnsi="Arial" w:eastAsia="Arial" w:cs="Arial"/>
      <w:sz w:val="40"/>
      <w:szCs w:val="40"/>
    </w:rPr>
  </w:style>
  <w:style w:type="paragraph" w:styleId="15">
    <w:name w:val="Heading 2"/>
    <w:basedOn w:val="665"/>
    <w:next w:val="665"/>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66"/>
    <w:link w:val="15"/>
    <w:uiPriority w:val="9"/>
    <w:rPr>
      <w:rFonts w:ascii="Arial" w:hAnsi="Arial" w:eastAsia="Arial" w:cs="Arial"/>
      <w:sz w:val="34"/>
    </w:rPr>
  </w:style>
  <w:style w:type="paragraph" w:styleId="17">
    <w:name w:val="Heading 3"/>
    <w:basedOn w:val="665"/>
    <w:next w:val="665"/>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66"/>
    <w:link w:val="17"/>
    <w:uiPriority w:val="9"/>
    <w:rPr>
      <w:rFonts w:ascii="Arial" w:hAnsi="Arial" w:eastAsia="Arial" w:cs="Arial"/>
      <w:sz w:val="30"/>
      <w:szCs w:val="30"/>
    </w:rPr>
  </w:style>
  <w:style w:type="paragraph" w:styleId="19">
    <w:name w:val="Heading 4"/>
    <w:basedOn w:val="665"/>
    <w:next w:val="665"/>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66"/>
    <w:link w:val="19"/>
    <w:uiPriority w:val="9"/>
    <w:rPr>
      <w:rFonts w:ascii="Arial" w:hAnsi="Arial" w:eastAsia="Arial" w:cs="Arial"/>
      <w:b/>
      <w:bCs/>
      <w:sz w:val="26"/>
      <w:szCs w:val="26"/>
    </w:rPr>
  </w:style>
  <w:style w:type="paragraph" w:styleId="21">
    <w:name w:val="Heading 5"/>
    <w:basedOn w:val="665"/>
    <w:next w:val="665"/>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66"/>
    <w:link w:val="21"/>
    <w:uiPriority w:val="9"/>
    <w:rPr>
      <w:rFonts w:ascii="Arial" w:hAnsi="Arial" w:eastAsia="Arial" w:cs="Arial"/>
      <w:b/>
      <w:bCs/>
      <w:sz w:val="24"/>
      <w:szCs w:val="24"/>
    </w:rPr>
  </w:style>
  <w:style w:type="paragraph" w:styleId="23">
    <w:name w:val="Heading 6"/>
    <w:basedOn w:val="665"/>
    <w:next w:val="665"/>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66"/>
    <w:link w:val="23"/>
    <w:uiPriority w:val="9"/>
    <w:rPr>
      <w:rFonts w:ascii="Arial" w:hAnsi="Arial" w:eastAsia="Arial" w:cs="Arial"/>
      <w:b/>
      <w:bCs/>
      <w:sz w:val="22"/>
      <w:szCs w:val="22"/>
    </w:rPr>
  </w:style>
  <w:style w:type="paragraph" w:styleId="25">
    <w:name w:val="Heading 7"/>
    <w:basedOn w:val="665"/>
    <w:next w:val="665"/>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66"/>
    <w:link w:val="25"/>
    <w:uiPriority w:val="9"/>
    <w:rPr>
      <w:rFonts w:ascii="Arial" w:hAnsi="Arial" w:eastAsia="Arial" w:cs="Arial"/>
      <w:b/>
      <w:bCs/>
      <w:i/>
      <w:iCs/>
      <w:sz w:val="22"/>
      <w:szCs w:val="22"/>
    </w:rPr>
  </w:style>
  <w:style w:type="paragraph" w:styleId="27">
    <w:name w:val="Heading 8"/>
    <w:basedOn w:val="665"/>
    <w:next w:val="665"/>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66"/>
    <w:link w:val="27"/>
    <w:uiPriority w:val="9"/>
    <w:rPr>
      <w:rFonts w:ascii="Arial" w:hAnsi="Arial" w:eastAsia="Arial" w:cs="Arial"/>
      <w:i/>
      <w:iCs/>
      <w:sz w:val="22"/>
      <w:szCs w:val="22"/>
    </w:rPr>
  </w:style>
  <w:style w:type="paragraph" w:styleId="29">
    <w:name w:val="Heading 9"/>
    <w:basedOn w:val="665"/>
    <w:next w:val="665"/>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66"/>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65"/>
    <w:next w:val="665"/>
    <w:link w:val="35"/>
    <w:uiPriority w:val="10"/>
    <w:qFormat/>
    <w:pPr>
      <w:contextualSpacing/>
      <w:spacing w:before="300" w:after="200"/>
    </w:pPr>
    <w:rPr>
      <w:sz w:val="48"/>
      <w:szCs w:val="48"/>
    </w:rPr>
  </w:style>
  <w:style w:type="character" w:styleId="35">
    <w:name w:val="Title Char"/>
    <w:basedOn w:val="666"/>
    <w:link w:val="34"/>
    <w:uiPriority w:val="10"/>
    <w:rPr>
      <w:sz w:val="48"/>
      <w:szCs w:val="48"/>
    </w:rPr>
  </w:style>
  <w:style w:type="paragraph" w:styleId="36">
    <w:name w:val="Subtitle"/>
    <w:basedOn w:val="665"/>
    <w:next w:val="665"/>
    <w:link w:val="37"/>
    <w:uiPriority w:val="11"/>
    <w:qFormat/>
    <w:pPr>
      <w:spacing w:before="200" w:after="200"/>
    </w:pPr>
    <w:rPr>
      <w:sz w:val="24"/>
      <w:szCs w:val="24"/>
    </w:rPr>
  </w:style>
  <w:style w:type="character" w:styleId="37">
    <w:name w:val="Subtitle Char"/>
    <w:basedOn w:val="666"/>
    <w:link w:val="36"/>
    <w:uiPriority w:val="11"/>
    <w:rPr>
      <w:sz w:val="24"/>
      <w:szCs w:val="24"/>
    </w:rPr>
  </w:style>
  <w:style w:type="paragraph" w:styleId="38">
    <w:name w:val="Quote"/>
    <w:basedOn w:val="665"/>
    <w:next w:val="665"/>
    <w:link w:val="39"/>
    <w:uiPriority w:val="29"/>
    <w:qFormat/>
    <w:pPr>
      <w:ind w:left="720" w:right="720"/>
    </w:pPr>
    <w:rPr>
      <w:i/>
    </w:rPr>
  </w:style>
  <w:style w:type="character" w:styleId="39">
    <w:name w:val="Quote Char"/>
    <w:link w:val="38"/>
    <w:uiPriority w:val="29"/>
    <w:rPr>
      <w:i/>
    </w:rPr>
  </w:style>
  <w:style w:type="paragraph" w:styleId="40">
    <w:name w:val="Intense Quote"/>
    <w:basedOn w:val="665"/>
    <w:next w:val="665"/>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65"/>
    <w:link w:val="43"/>
    <w:uiPriority w:val="99"/>
    <w:unhideWhenUsed/>
    <w:pPr>
      <w:spacing w:after="0" w:line="240" w:lineRule="auto"/>
      <w:tabs>
        <w:tab w:val="center" w:pos="7143" w:leader="none"/>
        <w:tab w:val="right" w:pos="14287" w:leader="none"/>
      </w:tabs>
    </w:pPr>
  </w:style>
  <w:style w:type="character" w:styleId="43">
    <w:name w:val="Header Char"/>
    <w:basedOn w:val="666"/>
    <w:link w:val="42"/>
    <w:uiPriority w:val="99"/>
  </w:style>
  <w:style w:type="character" w:styleId="45">
    <w:name w:val="Footer Char"/>
    <w:basedOn w:val="666"/>
    <w:link w:val="675"/>
    <w:uiPriority w:val="99"/>
  </w:style>
  <w:style w:type="paragraph" w:styleId="46">
    <w:name w:val="Caption"/>
    <w:basedOn w:val="665"/>
    <w:next w:val="665"/>
    <w:uiPriority w:val="35"/>
    <w:semiHidden/>
    <w:unhideWhenUsed/>
    <w:qFormat/>
    <w:pPr>
      <w:spacing w:line="276" w:lineRule="auto"/>
    </w:pPr>
    <w:rPr>
      <w:b/>
      <w:bCs/>
      <w:color w:val="4f81bd" w:themeColor="accent1"/>
      <w:sz w:val="18"/>
      <w:szCs w:val="18"/>
    </w:rPr>
  </w:style>
  <w:style w:type="character" w:styleId="47">
    <w:name w:val="Caption Char"/>
    <w:basedOn w:val="46"/>
    <w:link w:val="675"/>
    <w:uiPriority w:val="99"/>
  </w:style>
  <w:style w:type="table" w:styleId="49">
    <w:name w:val="Table Grid Light"/>
    <w:basedOn w:val="6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6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6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6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6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6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6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6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6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6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6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6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6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6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6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6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6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6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6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6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6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6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6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6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6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6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6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6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6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6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6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6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6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6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6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6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6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6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6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6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6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6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6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6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6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6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6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6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6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6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6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6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6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6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6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6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6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6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6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6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6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6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6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6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6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6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6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6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6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6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6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6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6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6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6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6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6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6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6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6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6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6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6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6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6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6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6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6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6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6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6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6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6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6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6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65"/>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66"/>
    <w:uiPriority w:val="99"/>
    <w:unhideWhenUsed/>
    <w:rPr>
      <w:vertAlign w:val="superscript"/>
    </w:rPr>
  </w:style>
  <w:style w:type="paragraph" w:styleId="178">
    <w:name w:val="endnote text"/>
    <w:basedOn w:val="665"/>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66"/>
    <w:uiPriority w:val="99"/>
    <w:semiHidden/>
    <w:unhideWhenUsed/>
    <w:rPr>
      <w:vertAlign w:val="superscript"/>
    </w:rPr>
  </w:style>
  <w:style w:type="paragraph" w:styleId="181">
    <w:name w:val="toc 1"/>
    <w:basedOn w:val="665"/>
    <w:next w:val="665"/>
    <w:uiPriority w:val="39"/>
    <w:unhideWhenUsed/>
    <w:pPr>
      <w:ind w:left="0" w:right="0" w:firstLine="0"/>
      <w:spacing w:after="57"/>
    </w:pPr>
  </w:style>
  <w:style w:type="paragraph" w:styleId="182">
    <w:name w:val="toc 2"/>
    <w:basedOn w:val="665"/>
    <w:next w:val="665"/>
    <w:uiPriority w:val="39"/>
    <w:unhideWhenUsed/>
    <w:pPr>
      <w:ind w:left="283" w:right="0" w:firstLine="0"/>
      <w:spacing w:after="57"/>
    </w:pPr>
  </w:style>
  <w:style w:type="paragraph" w:styleId="183">
    <w:name w:val="toc 3"/>
    <w:basedOn w:val="665"/>
    <w:next w:val="665"/>
    <w:uiPriority w:val="39"/>
    <w:unhideWhenUsed/>
    <w:pPr>
      <w:ind w:left="567" w:right="0" w:firstLine="0"/>
      <w:spacing w:after="57"/>
    </w:pPr>
  </w:style>
  <w:style w:type="paragraph" w:styleId="184">
    <w:name w:val="toc 4"/>
    <w:basedOn w:val="665"/>
    <w:next w:val="665"/>
    <w:uiPriority w:val="39"/>
    <w:unhideWhenUsed/>
    <w:pPr>
      <w:ind w:left="850" w:right="0" w:firstLine="0"/>
      <w:spacing w:after="57"/>
    </w:pPr>
  </w:style>
  <w:style w:type="paragraph" w:styleId="185">
    <w:name w:val="toc 5"/>
    <w:basedOn w:val="665"/>
    <w:next w:val="665"/>
    <w:uiPriority w:val="39"/>
    <w:unhideWhenUsed/>
    <w:pPr>
      <w:ind w:left="1134" w:right="0" w:firstLine="0"/>
      <w:spacing w:after="57"/>
    </w:pPr>
  </w:style>
  <w:style w:type="paragraph" w:styleId="186">
    <w:name w:val="toc 6"/>
    <w:basedOn w:val="665"/>
    <w:next w:val="665"/>
    <w:uiPriority w:val="39"/>
    <w:unhideWhenUsed/>
    <w:pPr>
      <w:ind w:left="1417" w:right="0" w:firstLine="0"/>
      <w:spacing w:after="57"/>
    </w:pPr>
  </w:style>
  <w:style w:type="paragraph" w:styleId="187">
    <w:name w:val="toc 7"/>
    <w:basedOn w:val="665"/>
    <w:next w:val="665"/>
    <w:uiPriority w:val="39"/>
    <w:unhideWhenUsed/>
    <w:pPr>
      <w:ind w:left="1701" w:right="0" w:firstLine="0"/>
      <w:spacing w:after="57"/>
    </w:pPr>
  </w:style>
  <w:style w:type="paragraph" w:styleId="188">
    <w:name w:val="toc 8"/>
    <w:basedOn w:val="665"/>
    <w:next w:val="665"/>
    <w:uiPriority w:val="39"/>
    <w:unhideWhenUsed/>
    <w:pPr>
      <w:ind w:left="1984" w:right="0" w:firstLine="0"/>
      <w:spacing w:after="57"/>
    </w:pPr>
  </w:style>
  <w:style w:type="paragraph" w:styleId="189">
    <w:name w:val="toc 9"/>
    <w:basedOn w:val="665"/>
    <w:next w:val="665"/>
    <w:uiPriority w:val="39"/>
    <w:unhideWhenUsed/>
    <w:pPr>
      <w:ind w:left="2268" w:right="0" w:firstLine="0"/>
      <w:spacing w:after="57"/>
    </w:pPr>
  </w:style>
  <w:style w:type="paragraph" w:styleId="190">
    <w:name w:val="TOC Heading"/>
    <w:uiPriority w:val="39"/>
    <w:unhideWhenUsed/>
  </w:style>
  <w:style w:type="paragraph" w:styleId="191">
    <w:name w:val="table of figures"/>
    <w:basedOn w:val="665"/>
    <w:next w:val="665"/>
    <w:uiPriority w:val="99"/>
    <w:unhideWhenUsed/>
    <w:pPr>
      <w:spacing w:after="0" w:afterAutospacing="0"/>
    </w:pPr>
  </w:style>
  <w:style w:type="paragraph" w:styleId="665" w:default="1">
    <w:name w:val="Normal"/>
    <w:qFormat/>
    <w:rPr>
      <w:lang w:val="uk-UA"/>
    </w:rPr>
  </w:style>
  <w:style w:type="character" w:styleId="666" w:default="1">
    <w:name w:val="Default Paragraph Font"/>
    <w:uiPriority w:val="1"/>
    <w:semiHidden/>
    <w:unhideWhenUsed/>
  </w:style>
  <w:style w:type="table" w:styleId="667" w:default="1">
    <w:name w:val="Normal Table"/>
    <w:uiPriority w:val="99"/>
    <w:semiHidden/>
    <w:unhideWhenUsed/>
    <w:tblPr>
      <w:tblInd w:w="0" w:type="dxa"/>
      <w:tblCellMar>
        <w:left w:w="108" w:type="dxa"/>
        <w:top w:w="0" w:type="dxa"/>
        <w:right w:w="108" w:type="dxa"/>
        <w:bottom w:w="0" w:type="dxa"/>
      </w:tblCellMar>
    </w:tblPr>
  </w:style>
  <w:style w:type="numbering" w:styleId="668" w:default="1">
    <w:name w:val="No List"/>
    <w:uiPriority w:val="99"/>
    <w:semiHidden/>
    <w:unhideWhenUsed/>
  </w:style>
  <w:style w:type="paragraph" w:styleId="669">
    <w:name w:val="List Paragraph"/>
    <w:basedOn w:val="665"/>
    <w:link w:val="670"/>
    <w:uiPriority w:val="34"/>
    <w:qFormat/>
    <w:pPr>
      <w:contextualSpacing/>
      <w:ind w:left="720"/>
      <w:spacing w:after="200" w:line="276" w:lineRule="auto"/>
    </w:pPr>
    <w:rPr>
      <w:rFonts w:ascii="Calibri" w:hAnsi="Calibri" w:eastAsia="Calibri" w:cs="Calibri"/>
      <w:lang w:val="ru-RU" w:eastAsia="zh-CN"/>
    </w:rPr>
  </w:style>
  <w:style w:type="character" w:styleId="670" w:customStyle="1">
    <w:name w:val="Абзац списку Знак"/>
    <w:link w:val="669"/>
    <w:uiPriority w:val="34"/>
    <w:rPr>
      <w:rFonts w:ascii="Calibri" w:hAnsi="Calibri" w:eastAsia="Calibri" w:cs="Calibri"/>
      <w:lang w:eastAsia="zh-CN"/>
    </w:rPr>
  </w:style>
  <w:style w:type="table" w:styleId="671">
    <w:name w:val="Table Grid"/>
    <w:basedOn w:val="667"/>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72" w:customStyle="1">
    <w:name w:val="Сетка таблицы2"/>
    <w:basedOn w:val="667"/>
    <w:next w:val="67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3">
    <w:name w:val="Normal (Web)"/>
    <w:basedOn w:val="665"/>
    <w:link w:val="680"/>
    <w:unhideWhenUsed/>
    <w:qFormat/>
    <w:rPr>
      <w:rFonts w:ascii="Times New Roman" w:hAnsi="Times New Roman" w:cs="Times New Roman"/>
      <w:sz w:val="24"/>
      <w:szCs w:val="24"/>
    </w:rPr>
  </w:style>
  <w:style w:type="table" w:styleId="674" w:customStyle="1">
    <w:name w:val="Сетка таблицы1"/>
    <w:basedOn w:val="667"/>
    <w:next w:val="67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5">
    <w:name w:val="Footer"/>
    <w:basedOn w:val="665"/>
    <w:link w:val="67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76" w:customStyle="1">
    <w:name w:val="Нижній колонтитул Знак"/>
    <w:basedOn w:val="666"/>
    <w:link w:val="675"/>
    <w:uiPriority w:val="99"/>
    <w:rPr>
      <w:rFonts w:ascii="Calibri" w:hAnsi="Calibri" w:eastAsia="Calibri" w:cs="Calibri"/>
      <w:lang w:eastAsia="zh-CN"/>
    </w:rPr>
  </w:style>
  <w:style w:type="paragraph" w:styleId="67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78">
    <w:name w:val="Hyperlink"/>
    <w:basedOn w:val="666"/>
    <w:uiPriority w:val="99"/>
    <w:unhideWhenUsed/>
    <w:rPr>
      <w:color w:val="0563c1" w:themeColor="hyperlink"/>
      <w:u w:val="single"/>
    </w:rPr>
  </w:style>
  <w:style w:type="character" w:styleId="679" w:customStyle="1">
    <w:name w:val="xfm_93972720"/>
    <w:basedOn w:val="666"/>
  </w:style>
  <w:style w:type="character" w:styleId="680" w:customStyle="1">
    <w:name w:val="Звичайний (веб) Знак"/>
    <w:link w:val="673"/>
    <w:qFormat/>
    <w:rPr>
      <w:rFonts w:ascii="Times New Roman" w:hAnsi="Times New Roman" w:cs="Times New Roman"/>
      <w:sz w:val="24"/>
      <w:szCs w:val="24"/>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53</cp:revision>
  <dcterms:created xsi:type="dcterms:W3CDTF">2022-11-01T12:47:00Z</dcterms:created>
  <dcterms:modified xsi:type="dcterms:W3CDTF">2023-04-06T13:35:32Z</dcterms:modified>
</cp:coreProperties>
</file>