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70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2. Назва предмета закупівлі із зазначенням коду за Єдиним закупівельним словником (у разі поділу на лоти</w:t>
      </w:r>
      <w:r>
        <w:rPr>
          <w:sz w:val="24"/>
          <w:szCs w:val="24"/>
        </w:rPr>
        <w:t xml:space="preserve">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hyperlink r:id="rId11" w:tooltip="https://www.dzo.com.ua/tenders/17227183" w:history="1">
        <w:r>
          <w:rPr>
            <w:b w:val="0"/>
            <w:bCs w:val="0"/>
            <w:sz w:val="24"/>
            <w:szCs w:val="24"/>
          </w:rPr>
          <w:t xml:space="preserve"> </w:t>
        </w:r>
        <w:r>
          <w:rPr>
            <w:rStyle w:val="683"/>
            <w:rFonts w:eastAsia="Calibri"/>
            <w:b w:val="0"/>
            <w:bCs w:val="0"/>
            <w:color w:val="000000"/>
            <w:sz w:val="24"/>
            <w:szCs w:val="24"/>
            <w:u w:val="none"/>
          </w:rPr>
          <w:t xml:space="preserve">Закупівля комплектів миша, клавіатура та жорсткі диски за ДК 021:2015: 30230000-0 Комп’ютерне обладнання </w:t>
        </w:r>
      </w:hyperlink>
      <w:r/>
      <w:r/>
    </w:p>
    <w:p>
      <w:pPr>
        <w:pStyle w:val="682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010151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характеристик предмета закупівлі:  </w:t>
      </w:r>
      <w:r>
        <w:rPr>
          <w:rFonts w:ascii="Times New Roman" w:hAnsi="Times New Roman"/>
          <w:color w:val="000000"/>
          <w:sz w:val="24"/>
          <w:szCs w:val="24"/>
        </w:rPr>
        <w:t xml:space="preserve">Закупівля комплектів миша, клавіатура та жорсткі диски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76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67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8"/>
              <w:rPr>
                <w:b/>
                <w:bCs/>
              </w:rPr>
            </w:pPr>
            <w:r>
              <w:rPr>
                <w:b/>
                <w:bCs/>
              </w:rPr>
              <w:t xml:space="preserve">Комплект клавіатура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KB-216 та миша </w:t>
            </w:r>
            <w:r>
              <w:rPr>
                <w:b/>
                <w:bCs/>
              </w:rPr>
              <w:t xml:space="preserve">Dell</w:t>
            </w:r>
            <w:r>
              <w:rPr>
                <w:b/>
                <w:bCs/>
              </w:rPr>
              <w:t xml:space="preserve"> MS116 USB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rPr>
                <w:b/>
              </w:rPr>
              <w:t xml:space="preserve">20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678"/>
              <w:rPr>
                <w:b/>
                <w:bCs/>
              </w:rPr>
            </w:pPr>
            <w:r>
              <w:rPr>
                <w:rStyle w:val="692"/>
                <w:b/>
                <w:bCs/>
                <w:shd w:val="clear" w:color="auto" w:fill="ffffff"/>
              </w:rPr>
              <w:t xml:space="preserve">Жорсткий диск 3.5" 2TB</w:t>
            </w:r>
            <w:r>
              <w:rPr>
                <w:b/>
                <w:bCs/>
                <w:shd w:val="clear" w:color="auto" w:fill="ffffff"/>
              </w:rPr>
              <w:br/>
            </w:r>
            <w:r>
              <w:rPr>
                <w:rStyle w:val="692"/>
                <w:b/>
                <w:bCs/>
                <w:shd w:val="clear" w:color="auto" w:fill="ffffff"/>
              </w:rPr>
              <w:t xml:space="preserve">WD (WD2005FBYZ)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t xml:space="preserve">шт.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678"/>
              <w:jc w:val="center"/>
            </w:pPr>
            <w:r>
              <w:rPr>
                <w:b/>
              </w:rPr>
              <w:t xml:space="preserve">2</w:t>
            </w:r>
            <w:r/>
          </w:p>
        </w:tc>
      </w:tr>
    </w:tbl>
    <w:p>
      <w:pPr>
        <w:pStyle w:val="67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678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7.  Гарантійні зобов’язання (всіх найменувань) повинні бути не менше строків, визначених технічними умовами виробника даних товарів. 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Учасник повинен забезпечити обслуговування (підтримку) протягом гарантійного терміну. 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contextualSpacing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</w:r>
      <w:r/>
    </w:p>
    <w:p>
      <w:pPr>
        <w:pStyle w:val="67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74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r>
      <w:r/>
    </w:p>
    <w:tbl>
      <w:tblPr>
        <w:tblStyle w:val="676"/>
        <w:tblW w:w="9634" w:type="dxa"/>
        <w:tblLook w:val="04A0" w:firstRow="1" w:lastRow="0" w:firstColumn="1" w:lastColumn="0" w:noHBand="0" w:noVBand="1"/>
      </w:tblPr>
      <w:tblGrid>
        <w:gridCol w:w="456"/>
        <w:gridCol w:w="6564"/>
        <w:gridCol w:w="1208"/>
        <w:gridCol w:w="1406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40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6564" w:type="dxa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Комплект клавіатура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KB-216 та миша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Dell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MS116 USB,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у складі: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клавіатури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Мембранні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дротова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USB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Формат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Класичні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клавішне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5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шт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Function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Volume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mute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play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pause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backward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forward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)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Фізичні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чорний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Вага 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503 г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Габарити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(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xШxГ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) 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24.4 x 442 x 127 мм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en-US"/>
              </w:rPr>
              <w:t xml:space="preserve">Гарантія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en-US"/>
              </w:rPr>
              <w:t xml:space="preserve"> не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en-US"/>
              </w:rPr>
              <w:t xml:space="preserve">менше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en-US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  <w:lang w:bidi="en-US"/>
              </w:rPr>
              <w:t xml:space="preserve">місяців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Призначення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для ноутбука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настільний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комп'ютер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Тип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дротове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Інтерфейс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підключення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USB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Тип сенсора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оптична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Довжина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проводу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менше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1.8 м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DPI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гірше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1000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dpi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Особливості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кнопок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2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Кількість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коліс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прокрутки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1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Фізичні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Колір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чорний</w:t>
            </w:r>
            <w:r/>
          </w:p>
          <w:p>
            <w:pPr>
              <w:pStyle w:val="691"/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Вага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ab/>
              <w:t xml:space="preserve">не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більше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uk-UA"/>
              </w:rPr>
              <w:t xml:space="preserve"> 413 г</w:t>
            </w:r>
            <w:r/>
          </w:p>
          <w:p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bidi="en-US"/>
              </w:rPr>
              <w:t xml:space="preserve">Гарантія не менше 6 місяців</w:t>
            </w:r>
            <w:r/>
          </w:p>
        </w:tc>
        <w:tc>
          <w:tcPr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40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</w:r>
      <w:r/>
    </w:p>
    <w:tbl>
      <w:tblPr>
        <w:tblStyle w:val="676"/>
        <w:tblW w:w="9634" w:type="dxa"/>
        <w:tblLook w:val="04A0" w:firstRow="1" w:lastRow="0" w:firstColumn="1" w:lastColumn="0" w:noHBand="0" w:noVBand="1"/>
      </w:tblPr>
      <w:tblGrid>
        <w:gridCol w:w="456"/>
        <w:gridCol w:w="6627"/>
        <w:gridCol w:w="1276"/>
        <w:gridCol w:w="1275"/>
      </w:tblGrid>
      <w:tr>
        <w:trPr/>
        <w:tc>
          <w:tcPr>
            <w:tcW w:w="45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/>
          </w:p>
        </w:tc>
        <w:tc>
          <w:tcPr>
            <w:tcW w:w="6627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W w:w="127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/>
        <w:tc>
          <w:tcPr>
            <w:tcW w:w="45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6627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Style w:val="692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Жорсткий диск 3.5" 2TB</w:t>
            </w:r>
            <w:r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br/>
            </w:r>
            <w:r>
              <w:rPr>
                <w:rStyle w:val="692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WD (WD2005FBYZ)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 складі: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</w:rPr>
              <w:t xml:space="preserve">Об’єм: не менше  </w:t>
            </w:r>
            <w:hyperlink r:id="rId12" w:tooltip="Об’єм 2 TB" w:history="1">
              <w:r>
                <w:rPr>
                  <w:rStyle w:val="683"/>
                  <w:rFonts w:ascii="Times New Roman" w:hAnsi="Times New Roman" w:cs="Times New Roman"/>
                </w:rPr>
                <w:t xml:space="preserve">2 TB</w:t>
              </w:r>
            </w:hyperlink>
            <w:r/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Швидкість обертання шпинделя: не менше </w:t>
            </w:r>
            <w:hyperlink r:id="rId13" w:tooltip="Швидкість обертання шпинделя 7200 об/хв" w:history="1">
              <w:r>
                <w:rPr>
                  <w:rStyle w:val="683"/>
                  <w:rFonts w:ascii="Times New Roman" w:hAnsi="Times New Roman" w:cs="Times New Roman"/>
                </w:rPr>
                <w:t xml:space="preserve">7200 об/хв</w:t>
              </w:r>
            </w:hyperlink>
            <w:r/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Розмір буферу: не менше </w:t>
            </w:r>
            <w:hyperlink r:id="rId14" w:tooltip="Розмір буферу 128 MB" w:history="1">
              <w:r>
                <w:rPr>
                  <w:rStyle w:val="683"/>
                  <w:rFonts w:ascii="Times New Roman" w:hAnsi="Times New Roman" w:cs="Times New Roman"/>
                </w:rPr>
                <w:t xml:space="preserve">128 MB</w:t>
              </w:r>
            </w:hyperlink>
            <w:r/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Інтерфейс </w:t>
            </w:r>
            <w:hyperlink r:id="rId15" w:tooltip="Інтерфейс SATA III" w:history="1">
              <w:r>
                <w:rPr>
                  <w:rStyle w:val="683"/>
                  <w:rFonts w:ascii="Times New Roman" w:hAnsi="Times New Roman" w:cs="Times New Roman"/>
                </w:rPr>
                <w:t xml:space="preserve">SATA III</w:t>
              </w:r>
            </w:hyperlink>
            <w:r/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Форм-фактор </w:t>
            </w:r>
            <w:hyperlink r:id="rId16" w:tooltip="Форм-фактор 3,5&quot;" w:history="1">
              <w:r>
                <w:rPr>
                  <w:rStyle w:val="683"/>
                  <w:rFonts w:ascii="Times New Roman" w:hAnsi="Times New Roman" w:cs="Times New Roman"/>
                </w:rPr>
                <w:t xml:space="preserve">3,5"</w:t>
              </w:r>
            </w:hyperlink>
            <w:r/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Швидкість передачі даних: не менше 200 МБ/с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напрацювання на відмову: не менше 2 млн. годин</w:t>
            </w:r>
            <w:r/>
          </w:p>
          <w:p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Рівень шуму: не більше 28 </w:t>
            </w:r>
            <w:r>
              <w:rPr>
                <w:rFonts w:ascii="Times New Roman" w:hAnsi="Times New Roman" w:cs="Times New Roman"/>
              </w:rPr>
              <w:t xml:space="preserve">дБ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шт.</w:t>
            </w:r>
            <w:r/>
          </w:p>
        </w:tc>
        <w:tc>
          <w:tcPr>
            <w:tcW w:w="127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ind w:firstLine="567"/>
        <w:jc w:val="both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29 278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двісті сімдесят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0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4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7"/>
  </w:num>
  <w:num w:numId="5">
    <w:abstractNumId w:val="1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9"/>
    <w:next w:val="66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1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71"/>
    <w:link w:val="670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9"/>
    <w:next w:val="66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9"/>
    <w:next w:val="66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9"/>
    <w:next w:val="66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9"/>
    <w:next w:val="66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9"/>
    <w:next w:val="66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9"/>
    <w:next w:val="66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9"/>
    <w:next w:val="66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9"/>
    <w:next w:val="66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1"/>
    <w:link w:val="34"/>
    <w:uiPriority w:val="10"/>
    <w:rPr>
      <w:sz w:val="48"/>
      <w:szCs w:val="48"/>
    </w:rPr>
  </w:style>
  <w:style w:type="paragraph" w:styleId="36">
    <w:name w:val="Subtitle"/>
    <w:basedOn w:val="669"/>
    <w:next w:val="66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1"/>
    <w:link w:val="36"/>
    <w:uiPriority w:val="11"/>
    <w:rPr>
      <w:sz w:val="24"/>
      <w:szCs w:val="24"/>
    </w:rPr>
  </w:style>
  <w:style w:type="paragraph" w:styleId="38">
    <w:name w:val="Quote"/>
    <w:basedOn w:val="669"/>
    <w:next w:val="66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9"/>
    <w:next w:val="66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71"/>
    <w:link w:val="42"/>
    <w:uiPriority w:val="99"/>
  </w:style>
  <w:style w:type="character" w:styleId="45">
    <w:name w:val="Footer Char"/>
    <w:basedOn w:val="671"/>
    <w:link w:val="680"/>
    <w:uiPriority w:val="99"/>
  </w:style>
  <w:style w:type="paragraph" w:styleId="46">
    <w:name w:val="Caption"/>
    <w:basedOn w:val="669"/>
    <w:next w:val="66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0"/>
    <w:uiPriority w:val="99"/>
  </w:style>
  <w:style w:type="table" w:styleId="4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6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1"/>
    <w:uiPriority w:val="99"/>
    <w:unhideWhenUsed/>
    <w:rPr>
      <w:vertAlign w:val="superscript"/>
    </w:rPr>
  </w:style>
  <w:style w:type="paragraph" w:styleId="178">
    <w:name w:val="endnote text"/>
    <w:basedOn w:val="66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1"/>
    <w:uiPriority w:val="99"/>
    <w:semiHidden/>
    <w:unhideWhenUsed/>
    <w:rPr>
      <w:vertAlign w:val="superscript"/>
    </w:rPr>
  </w:style>
  <w:style w:type="paragraph" w:styleId="181">
    <w:name w:val="toc 1"/>
    <w:basedOn w:val="669"/>
    <w:next w:val="66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9"/>
    <w:next w:val="66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9"/>
    <w:next w:val="66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9"/>
    <w:next w:val="66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9"/>
    <w:next w:val="66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9"/>
    <w:next w:val="66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9"/>
    <w:next w:val="66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9"/>
    <w:next w:val="66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9"/>
    <w:next w:val="66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9"/>
    <w:next w:val="669"/>
    <w:uiPriority w:val="99"/>
    <w:unhideWhenUsed/>
    <w:pPr>
      <w:spacing w:after="0" w:afterAutospacing="0"/>
    </w:pPr>
  </w:style>
  <w:style w:type="paragraph" w:styleId="669" w:default="1">
    <w:name w:val="Normal"/>
    <w:qFormat/>
    <w:rPr>
      <w:lang w:val="uk-UA"/>
    </w:rPr>
  </w:style>
  <w:style w:type="paragraph" w:styleId="670">
    <w:name w:val="Heading 2"/>
    <w:basedOn w:val="669"/>
    <w:link w:val="689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71" w:default="1">
    <w:name w:val="Default Paragraph Font"/>
    <w:uiPriority w:val="1"/>
    <w:unhideWhenUsed/>
  </w:style>
  <w:style w:type="table" w:styleId="6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>
    <w:name w:val="List Paragraph"/>
    <w:basedOn w:val="669"/>
    <w:link w:val="67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75" w:customStyle="1">
    <w:name w:val="Абзац списку Знак"/>
    <w:link w:val="674"/>
    <w:uiPriority w:val="34"/>
    <w:rPr>
      <w:rFonts w:ascii="Calibri" w:hAnsi="Calibri" w:eastAsia="Calibri" w:cs="Calibri"/>
      <w:lang w:eastAsia="zh-CN"/>
    </w:rPr>
  </w:style>
  <w:style w:type="table" w:styleId="676">
    <w:name w:val="Table Grid"/>
    <w:basedOn w:val="67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7" w:customStyle="1">
    <w:name w:val="Сетка таблицы2"/>
    <w:basedOn w:val="672"/>
    <w:next w:val="676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78">
    <w:name w:val="Normal (Web)"/>
    <w:basedOn w:val="669"/>
    <w:link w:val="685"/>
    <w:unhideWhenUsed/>
    <w:qFormat/>
    <w:rPr>
      <w:rFonts w:ascii="Times New Roman" w:hAnsi="Times New Roman" w:cs="Times New Roman"/>
      <w:sz w:val="24"/>
      <w:szCs w:val="24"/>
    </w:rPr>
  </w:style>
  <w:style w:type="table" w:styleId="679" w:customStyle="1">
    <w:name w:val="Сетка таблицы1"/>
    <w:basedOn w:val="672"/>
    <w:next w:val="676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0">
    <w:name w:val="Footer"/>
    <w:basedOn w:val="669"/>
    <w:link w:val="681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81" w:customStyle="1">
    <w:name w:val="Нижній колонтитул Знак"/>
    <w:basedOn w:val="671"/>
    <w:link w:val="680"/>
    <w:uiPriority w:val="99"/>
    <w:rPr>
      <w:rFonts w:ascii="Calibri" w:hAnsi="Calibri" w:eastAsia="Calibri" w:cs="Calibri"/>
      <w:lang w:eastAsia="zh-CN"/>
    </w:rPr>
  </w:style>
  <w:style w:type="paragraph" w:styleId="682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83">
    <w:name w:val="Hyperlink"/>
    <w:basedOn w:val="671"/>
    <w:uiPriority w:val="99"/>
    <w:unhideWhenUsed/>
    <w:rPr>
      <w:color w:val="0563c1" w:themeColor="hyperlink"/>
      <w:u w:val="single"/>
    </w:rPr>
  </w:style>
  <w:style w:type="character" w:styleId="684" w:customStyle="1">
    <w:name w:val="xfm_93972720"/>
    <w:basedOn w:val="671"/>
  </w:style>
  <w:style w:type="character" w:styleId="685" w:customStyle="1">
    <w:name w:val="Звичайний (веб) Знак"/>
    <w:link w:val="678"/>
    <w:qFormat/>
    <w:rPr>
      <w:rFonts w:ascii="Times New Roman" w:hAnsi="Times New Roman" w:cs="Times New Roman"/>
      <w:sz w:val="24"/>
      <w:szCs w:val="24"/>
      <w:lang w:val="uk-UA"/>
    </w:rPr>
  </w:style>
  <w:style w:type="paragraph" w:styleId="686">
    <w:name w:val="Body Text 2"/>
    <w:basedOn w:val="669"/>
    <w:link w:val="687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687" w:customStyle="1">
    <w:name w:val="Основний текст 2 Знак"/>
    <w:basedOn w:val="671"/>
    <w:link w:val="686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88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689" w:customStyle="1">
    <w:name w:val="Заголовок 2 Знак"/>
    <w:basedOn w:val="671"/>
    <w:link w:val="670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character" w:styleId="690" w:customStyle="1">
    <w:name w:val="Другое_"/>
    <w:basedOn w:val="671"/>
    <w:link w:val="691"/>
    <w:rPr>
      <w:rFonts w:ascii="Calibri" w:hAnsi="Calibri" w:eastAsia="Calibri" w:cs="Calibri"/>
      <w:sz w:val="20"/>
      <w:szCs w:val="20"/>
    </w:rPr>
  </w:style>
  <w:style w:type="paragraph" w:styleId="691" w:customStyle="1">
    <w:name w:val="Другое"/>
    <w:basedOn w:val="669"/>
    <w:link w:val="690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character" w:styleId="692" w:customStyle="1">
    <w:name w:val="markedcontent"/>
    <w:basedOn w:val="6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hyperlink" Target="https://brain.com.ua/ukr/category/Zhorstki_diski_HDD-c2817/filter=2178-93109/" TargetMode="External"/><Relationship Id="rId13" Type="http://schemas.openxmlformats.org/officeDocument/2006/relationships/hyperlink" Target="https://brain.com.ua/ukr/category/Zhorstki_diski_HDD-c2817/filter=2179-93127/" TargetMode="External"/><Relationship Id="rId14" Type="http://schemas.openxmlformats.org/officeDocument/2006/relationships/hyperlink" Target="https://brain.com.ua/ukr/category/Zhorstki_diski_HDD-c2817/filter=2180-93128/" TargetMode="External"/><Relationship Id="rId15" Type="http://schemas.openxmlformats.org/officeDocument/2006/relationships/hyperlink" Target="https://brain.com.ua/ukr/category/Zhorstki_diski_HDD-c2817/filter=2181-93137/" TargetMode="External"/><Relationship Id="rId16" Type="http://schemas.openxmlformats.org/officeDocument/2006/relationships/hyperlink" Target="https://brain.com.ua/ukr/category/Zhorstki_diski_HDD-c2817/filter=2276-93936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66</cp:revision>
  <dcterms:created xsi:type="dcterms:W3CDTF">2022-11-01T12:47:00Z</dcterms:created>
  <dcterms:modified xsi:type="dcterms:W3CDTF">2023-04-27T07:12:19Z</dcterms:modified>
</cp:coreProperties>
</file>