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77"/>
        <w:ind w:left="0"/>
        <w:rPr>
          <w:rFonts w:ascii="Times New Roman" w:hAnsi="Times New Roman"/>
          <w:bCs/>
          <w:color w:val="000000" w:themeColor="text1"/>
          <w:sz w:val="24"/>
          <w:szCs w:val="24"/>
          <w:shd w:val="clear" w:color="auto" w:fill="ffffff"/>
        </w:rPr>
      </w:pPr>
      <w:r>
        <w:rPr>
          <w:rFonts w:ascii="Times New Roman" w:hAnsi="Times New Roman"/>
          <w:b/>
          <w:sz w:val="24"/>
          <w:szCs w:val="24"/>
        </w:rPr>
        <w:t xml:space="preserve">2. Назва предм</w:t>
      </w:r>
      <w:r>
        <w:rPr>
          <w:rFonts w:ascii="Times New Roman" w:hAnsi="Times New Roman"/>
          <w:b/>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ascii="Times New Roman" w:hAnsi="Times New Roman" w:eastAsiaTheme="minorHAnsi"/>
          <w:bCs/>
          <w:sz w:val="24"/>
          <w:szCs w:val="24"/>
        </w:rPr>
        <w:t xml:space="preserve">Закупівля систем пожежної сигналізації за ДК 021:2015: 31620000-8 Прилади звукової та візуальної сигналізації</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05</w:t>
      </w:r>
      <w:r>
        <w:rPr>
          <w:rFonts w:ascii="Times New Roman" w:hAnsi="Times New Roman" w:cs="Times New Roman"/>
          <w:sz w:val="24"/>
          <w:szCs w:val="24"/>
        </w:rPr>
        <w:t xml:space="preserve">-</w:t>
      </w:r>
      <w:r>
        <w:rPr>
          <w:rFonts w:ascii="Times New Roman" w:hAnsi="Times New Roman" w:cs="Times New Roman"/>
          <w:sz w:val="24"/>
          <w:szCs w:val="24"/>
        </w:rPr>
        <w:t xml:space="preserve">009938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характеристик предмета закупівлі:  </w:t>
      </w:r>
      <w:r>
        <w:rPr>
          <w:rFonts w:ascii="Times New Roman" w:hAnsi="Times New Roman"/>
          <w:bCs/>
          <w:sz w:val="24"/>
          <w:szCs w:val="24"/>
        </w:rPr>
        <w:t xml:space="preserve">Закупівля систем пожежної сигналізації </w:t>
      </w: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71"/>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673"/>
              <w:jc w:val="center"/>
              <w:rPr>
                <w:b/>
                <w:bCs/>
              </w:rPr>
            </w:pPr>
            <w:r>
              <w:rPr>
                <w:b/>
                <w:bCs/>
              </w:rPr>
              <w:t xml:space="preserve">№ п/п</w:t>
            </w:r>
            <w:r/>
          </w:p>
        </w:tc>
        <w:tc>
          <w:tcPr>
            <w:tcW w:w="5670" w:type="dxa"/>
            <w:textDirection w:val="lrTb"/>
            <w:noWrap w:val="false"/>
          </w:tcPr>
          <w:p>
            <w:pPr>
              <w:pStyle w:val="673"/>
              <w:jc w:val="center"/>
              <w:rPr>
                <w:b/>
                <w:bCs/>
              </w:rPr>
            </w:pPr>
            <w:r>
              <w:rPr>
                <w:b/>
                <w:bCs/>
              </w:rPr>
              <w:t xml:space="preserve">Назва системи</w:t>
            </w:r>
            <w:r/>
          </w:p>
        </w:tc>
        <w:tc>
          <w:tcPr>
            <w:tcW w:w="1701" w:type="dxa"/>
            <w:textDirection w:val="lrTb"/>
            <w:noWrap w:val="false"/>
          </w:tcPr>
          <w:p>
            <w:pPr>
              <w:pStyle w:val="673"/>
              <w:jc w:val="center"/>
              <w:rPr>
                <w:b/>
                <w:bCs/>
              </w:rPr>
            </w:pPr>
            <w:r>
              <w:rPr>
                <w:b/>
                <w:bCs/>
              </w:rPr>
              <w:t xml:space="preserve">Одиниця виміру</w:t>
            </w:r>
            <w:r/>
          </w:p>
        </w:tc>
        <w:tc>
          <w:tcPr>
            <w:tcW w:w="1701" w:type="dxa"/>
            <w:textDirection w:val="lrTb"/>
            <w:noWrap w:val="false"/>
          </w:tcPr>
          <w:p>
            <w:pPr>
              <w:pStyle w:val="673"/>
              <w:jc w:val="center"/>
              <w:rPr>
                <w:b/>
                <w:bCs/>
              </w:rPr>
            </w:pPr>
            <w:r>
              <w:rPr>
                <w:b/>
                <w:bCs/>
              </w:rPr>
              <w:t xml:space="preserve">Кількість</w:t>
            </w:r>
            <w:r/>
          </w:p>
        </w:tc>
      </w:tr>
      <w:tr>
        <w:trPr/>
        <w:tc>
          <w:tcPr>
            <w:tcW w:w="562" w:type="dxa"/>
            <w:textDirection w:val="lrTb"/>
            <w:noWrap w:val="false"/>
          </w:tcPr>
          <w:p>
            <w:pPr>
              <w:pStyle w:val="673"/>
              <w:jc w:val="center"/>
            </w:pPr>
            <w:r>
              <w:t xml:space="preserve">1.</w:t>
            </w:r>
            <w:r/>
          </w:p>
        </w:tc>
        <w:tc>
          <w:tcPr>
            <w:tcW w:w="5670" w:type="dxa"/>
            <w:textDirection w:val="lrTb"/>
            <w:noWrap w:val="false"/>
          </w:tcPr>
          <w:p>
            <w:pPr>
              <w:pStyle w:val="673"/>
              <w:jc w:val="both"/>
              <w:rPr>
                <w:b/>
                <w:bCs/>
              </w:rPr>
            </w:pPr>
            <w:r>
              <w:rPr>
                <w:b/>
                <w:bCs/>
              </w:rPr>
              <w:t xml:space="preserve">Система пожежної сигналізації та управління </w:t>
            </w:r>
            <w:r>
              <w:rPr>
                <w:b/>
                <w:bCs/>
              </w:rPr>
              <w:t xml:space="preserve">евакуюванням</w:t>
            </w:r>
            <w:r>
              <w:rPr>
                <w:b/>
                <w:bCs/>
              </w:rPr>
              <w:t xml:space="preserve"> людей та передавання тривожних сповіщень</w:t>
            </w:r>
            <w:r/>
          </w:p>
        </w:tc>
        <w:tc>
          <w:tcPr>
            <w:tcW w:w="1701" w:type="dxa"/>
            <w:textDirection w:val="lrTb"/>
            <w:noWrap w:val="false"/>
          </w:tcPr>
          <w:p>
            <w:pPr>
              <w:pStyle w:val="673"/>
              <w:jc w:val="center"/>
            </w:pPr>
            <w:r>
              <w:t xml:space="preserve">шт.</w:t>
            </w:r>
            <w:r/>
          </w:p>
        </w:tc>
        <w:tc>
          <w:tcPr>
            <w:tcW w:w="1701" w:type="dxa"/>
            <w:textDirection w:val="lrTb"/>
            <w:noWrap w:val="false"/>
          </w:tcPr>
          <w:p>
            <w:pPr>
              <w:pStyle w:val="673"/>
              <w:jc w:val="center"/>
            </w:pPr>
            <w:r>
              <w:t xml:space="preserve">1</w:t>
            </w:r>
            <w:r/>
          </w:p>
        </w:tc>
      </w:tr>
      <w:tr>
        <w:trPr/>
        <w:tc>
          <w:tcPr>
            <w:tcW w:w="562" w:type="dxa"/>
            <w:textDirection w:val="lrTb"/>
            <w:noWrap w:val="false"/>
          </w:tcPr>
          <w:p>
            <w:pPr>
              <w:pStyle w:val="673"/>
              <w:jc w:val="center"/>
            </w:pPr>
            <w:r>
              <w:t xml:space="preserve">2.</w:t>
            </w:r>
            <w:r/>
          </w:p>
        </w:tc>
        <w:tc>
          <w:tcPr>
            <w:tcW w:w="5670" w:type="dxa"/>
            <w:textDirection w:val="lrTb"/>
            <w:noWrap w:val="false"/>
          </w:tcPr>
          <w:p>
            <w:pPr>
              <w:pStyle w:val="673"/>
              <w:jc w:val="both"/>
              <w:rPr>
                <w:b/>
                <w:bCs/>
              </w:rPr>
            </w:pPr>
            <w:r>
              <w:rPr>
                <w:b/>
                <w:bCs/>
              </w:rPr>
              <w:t xml:space="preserve">Система </w:t>
            </w:r>
            <w:r>
              <w:rPr>
                <w:b/>
                <w:bCs/>
              </w:rPr>
              <w:t xml:space="preserve">оповіщення про пожежу</w:t>
            </w:r>
            <w:r/>
          </w:p>
        </w:tc>
        <w:tc>
          <w:tcPr>
            <w:tcW w:w="1701" w:type="dxa"/>
            <w:textDirection w:val="lrTb"/>
            <w:noWrap w:val="false"/>
          </w:tcPr>
          <w:p>
            <w:pPr>
              <w:pStyle w:val="673"/>
              <w:jc w:val="center"/>
            </w:pPr>
            <w:r>
              <w:t xml:space="preserve">шт.</w:t>
            </w:r>
            <w:r/>
          </w:p>
        </w:tc>
        <w:tc>
          <w:tcPr>
            <w:tcW w:w="1701" w:type="dxa"/>
            <w:textDirection w:val="lrTb"/>
            <w:noWrap w:val="false"/>
          </w:tcPr>
          <w:p>
            <w:pPr>
              <w:pStyle w:val="673"/>
              <w:jc w:val="center"/>
            </w:pPr>
            <w:r>
              <w:t xml:space="preserve">1</w:t>
            </w:r>
            <w:r/>
          </w:p>
        </w:tc>
      </w:tr>
    </w:tbl>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pStyle w:val="673"/>
        <w:jc w:val="both"/>
        <w:spacing w:after="0"/>
        <w:rPr>
          <w:b/>
          <w:bCs/>
          <w:i/>
          <w:iCs/>
        </w:rPr>
      </w:pPr>
      <w:r>
        <w:rPr>
          <w:b/>
          <w:bCs/>
          <w:i/>
          <w:iCs/>
          <w:lang w:eastAsia="ru-RU"/>
        </w:rPr>
        <w:t xml:space="preserve">У ціну мають бути включені прямі, загальновиробничі та адміністративні витра</w:t>
      </w:r>
      <w:r>
        <w:rPr>
          <w:b/>
          <w:bCs/>
          <w:i/>
          <w:iCs/>
          <w:lang w:eastAsia="ru-RU"/>
        </w:rPr>
        <w:t xml:space="preserve">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w:t>
      </w:r>
      <w:r>
        <w:rPr>
          <w:b/>
          <w:bCs/>
          <w:i/>
          <w:iCs/>
          <w:lang w:eastAsia="ru-RU"/>
        </w:rPr>
        <w:t xml:space="preserve">продажу</w:t>
      </w:r>
      <w:r>
        <w:rPr>
          <w:b/>
          <w:bCs/>
          <w:i/>
          <w:iCs/>
          <w:lang w:eastAsia="ru-RU"/>
        </w:rPr>
        <w:t xml:space="preserve">, кошти на покриття ризиків та/а</w:t>
      </w:r>
      <w:r>
        <w:rPr>
          <w:b/>
          <w:bCs/>
          <w:i/>
          <w:iCs/>
          <w:lang w:eastAsia="ru-RU"/>
        </w:rPr>
        <w:t xml:space="preserve">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цього </w:t>
      </w:r>
      <w:r>
        <w:rPr>
          <w:b/>
          <w:bCs/>
          <w:i/>
          <w:iCs/>
          <w:lang w:eastAsia="ru-RU"/>
        </w:rPr>
        <w:t xml:space="preserve">проєкту</w:t>
      </w:r>
      <w:r>
        <w:rPr>
          <w:b/>
          <w:bCs/>
          <w:i/>
          <w:iCs/>
          <w:lang w:eastAsia="ru-RU"/>
        </w:rPr>
        <w:t xml:space="preserve"> </w:t>
      </w:r>
      <w:r>
        <w:rPr>
          <w:b/>
          <w:bCs/>
          <w:i/>
          <w:iCs/>
          <w:lang w:eastAsia="ru-RU"/>
        </w:rPr>
        <w:t xml:space="preserve">Договору до моменту його повного завершення; монтаж, </w:t>
      </w:r>
      <w:r>
        <w:rPr>
          <w:b/>
          <w:bCs/>
          <w:i/>
          <w:iCs/>
          <w:lang w:eastAsia="ru-RU"/>
        </w:rPr>
        <w:t xml:space="preserve">пусконалагоджування</w:t>
      </w:r>
      <w:r>
        <w:rPr>
          <w:b/>
          <w:bCs/>
          <w:i/>
          <w:iCs/>
          <w:lang w:eastAsia="ru-RU"/>
        </w:rPr>
        <w:t xml:space="preserve"> (введення в експлуатацію) Товару</w:t>
      </w:r>
      <w:r/>
    </w:p>
    <w:p>
      <w:pPr>
        <w:pStyle w:val="673"/>
        <w:ind w:firstLine="567"/>
        <w:jc w:val="both"/>
        <w:spacing w:after="0" w:line="240" w:lineRule="auto"/>
        <w:rPr>
          <w:color w:val="000000" w:themeColor="text1"/>
          <w:shd w:val="clear" w:color="auto" w:fill="ffffff"/>
        </w:rPr>
      </w:pPr>
      <w:r/>
      <w:bookmarkStart w:id="0"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w:t>
      </w:r>
      <w:r>
        <w:rPr>
          <w:rFonts w:ascii="Times New Roman" w:hAnsi="Times New Roman" w:cs="Times New Roman"/>
          <w:color w:val="000000" w:themeColor="text1"/>
          <w:sz w:val="24"/>
          <w:szCs w:val="24"/>
          <w:shd w:val="clear" w:color="auto" w:fill="ffffff"/>
        </w:rPr>
        <w:t xml:space="preserve">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обладнання систем пожежної сигналізації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у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End w:id="0"/>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6. Учаснику необхідно у складі тендерної пропозиції надати гарантійний лист від виробника Товару, що виробник надає гарантії на поставку Товару в строки та обсяги визначеними умовами тендерної документації.</w:t>
      </w:r>
      <w:r/>
    </w:p>
    <w:p>
      <w:pPr>
        <w:pStyle w:val="669"/>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 СИСТЕМ:</w:t>
      </w:r>
      <w:r/>
    </w:p>
    <w:tbl>
      <w:tblPr>
        <w:tblStyle w:val="671"/>
        <w:tblW w:w="9622" w:type="dxa"/>
        <w:tblLook w:val="04A0" w:firstRow="1" w:lastRow="0" w:firstColumn="1" w:lastColumn="0" w:noHBand="0" w:noVBand="1"/>
      </w:tblPr>
      <w:tblGrid>
        <w:gridCol w:w="457"/>
        <w:gridCol w:w="6344"/>
        <w:gridCol w:w="1427"/>
        <w:gridCol w:w="1394"/>
      </w:tblGrid>
      <w:tr>
        <w:trPr/>
        <w:tc>
          <w:tcPr>
            <w:gridSpan w:val="4"/>
            <w:tcW w:w="9622" w:type="dxa"/>
            <w:textDirection w:val="lrTb"/>
            <w:noWrap w:val="false"/>
          </w:tcPr>
          <w:p>
            <w:pPr>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Система пожежної сигналізації та управління </w:t>
            </w:r>
            <w:r>
              <w:rPr>
                <w:rFonts w:ascii="Times New Roman" w:hAnsi="Times New Roman" w:cs="Times New Roman"/>
                <w:b/>
                <w:bCs/>
                <w:sz w:val="24"/>
                <w:szCs w:val="24"/>
              </w:rPr>
              <w:t xml:space="preserve">евакуюванням</w:t>
            </w:r>
            <w:r>
              <w:rPr>
                <w:rFonts w:ascii="Times New Roman" w:hAnsi="Times New Roman" w:cs="Times New Roman"/>
                <w:b/>
                <w:bCs/>
                <w:sz w:val="24"/>
                <w:szCs w:val="24"/>
              </w:rPr>
              <w:t xml:space="preserve"> людей та передавання тривожних сповіщень</w:t>
            </w:r>
            <w:r>
              <w:rPr>
                <w:rFonts w:ascii="Times New Roman" w:hAnsi="Times New Roman" w:cs="Times New Roman"/>
                <w:sz w:val="24"/>
                <w:szCs w:val="24"/>
              </w:rPr>
              <w:t xml:space="preserve">, </w:t>
            </w:r>
            <w:r>
              <w:rPr>
                <w:rFonts w:ascii="Times New Roman" w:hAnsi="Times New Roman" w:cs="Times New Roman"/>
                <w:i/>
                <w:iCs/>
                <w:sz w:val="24"/>
                <w:szCs w:val="24"/>
              </w:rPr>
              <w:t xml:space="preserve">у складі:</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Прилад приймально-контрольний</w:t>
            </w:r>
            <w:r>
              <w:rPr>
                <w:rFonts w:ascii="Times New Roman" w:hAnsi="Times New Roman" w:cs="Times New Roman"/>
                <w:color w:val="000000"/>
                <w:sz w:val="24"/>
                <w:szCs w:val="24"/>
              </w:rPr>
              <w:br/>
              <w:t xml:space="preserve">пожежний адресний "</w:t>
            </w:r>
            <w:r>
              <w:rPr>
                <w:rFonts w:ascii="Times New Roman" w:hAnsi="Times New Roman" w:cs="Times New Roman"/>
                <w:color w:val="000000"/>
                <w:sz w:val="24"/>
                <w:szCs w:val="24"/>
              </w:rPr>
              <w:t xml:space="preserve">Тірас</w:t>
            </w:r>
            <w:r>
              <w:rPr>
                <w:rFonts w:ascii="Times New Roman" w:hAnsi="Times New Roman" w:cs="Times New Roman"/>
                <w:color w:val="000000"/>
                <w:sz w:val="24"/>
                <w:szCs w:val="24"/>
              </w:rPr>
              <w:t xml:space="preserve"> PRIME A"</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Акумуляторна батарея АКБ 12В, 9А/ч</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Універсальний адресний модуль</w:t>
            </w:r>
            <w:r>
              <w:rPr>
                <w:rFonts w:ascii="Times New Roman" w:hAnsi="Times New Roman" w:cs="Times New Roman"/>
                <w:color w:val="000000"/>
                <w:sz w:val="24"/>
                <w:szCs w:val="24"/>
              </w:rPr>
              <w:br/>
              <w:t xml:space="preserve">розширення з </w:t>
            </w:r>
            <w:r>
              <w:rPr>
                <w:rFonts w:ascii="Times New Roman" w:hAnsi="Times New Roman" w:cs="Times New Roman"/>
                <w:color w:val="000000"/>
                <w:sz w:val="24"/>
                <w:szCs w:val="24"/>
              </w:rPr>
              <w:t xml:space="preserve">вбудованним</w:t>
            </w:r>
            <w:r>
              <w:rPr>
                <w:rFonts w:ascii="Times New Roman" w:hAnsi="Times New Roman" w:cs="Times New Roman"/>
                <w:color w:val="000000"/>
                <w:sz w:val="24"/>
                <w:szCs w:val="24"/>
              </w:rPr>
              <w:t xml:space="preserve"> блоком</w:t>
            </w:r>
            <w:r>
              <w:rPr>
                <w:rFonts w:ascii="Times New Roman" w:hAnsi="Times New Roman" w:cs="Times New Roman"/>
                <w:color w:val="000000"/>
                <w:sz w:val="24"/>
                <w:szCs w:val="24"/>
              </w:rPr>
              <w:br/>
              <w:t xml:space="preserve">живлення AM-MUL TI</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Розширювач адресний </w:t>
            </w:r>
            <w:r>
              <w:rPr>
                <w:rFonts w:ascii="Times New Roman" w:hAnsi="Times New Roman" w:cs="Times New Roman"/>
                <w:color w:val="000000"/>
                <w:sz w:val="24"/>
                <w:szCs w:val="24"/>
              </w:rPr>
              <w:t xml:space="preserve">інтерфейсний</w:t>
            </w:r>
            <w:r>
              <w:rPr>
                <w:rFonts w:ascii="Times New Roman" w:hAnsi="Times New Roman" w:cs="Times New Roman"/>
                <w:color w:val="000000"/>
                <w:sz w:val="24"/>
                <w:szCs w:val="24"/>
              </w:rPr>
              <w:t xml:space="preserve"> M-</w:t>
            </w:r>
            <w:r>
              <w:rPr>
                <w:rFonts w:ascii="Times New Roman" w:hAnsi="Times New Roman" w:cs="Times New Roman"/>
                <w:color w:val="000000"/>
                <w:sz w:val="24"/>
                <w:szCs w:val="24"/>
              </w:rPr>
              <w:br/>
              <w:t xml:space="preserve">LOOP</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Модуль цифрового автодозвона МЦА с</w:t>
            </w:r>
            <w:r>
              <w:rPr>
                <w:rFonts w:ascii="Times New Roman" w:hAnsi="Times New Roman" w:cs="Times New Roman"/>
                <w:color w:val="000000"/>
                <w:sz w:val="24"/>
                <w:szCs w:val="24"/>
              </w:rPr>
              <w:br/>
              <w:t xml:space="preserve">GSM</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Сповіщувач пожежний димовий</w:t>
            </w:r>
            <w:r>
              <w:rPr>
                <w:rFonts w:ascii="Times New Roman" w:hAnsi="Times New Roman" w:cs="Times New Roman"/>
                <w:color w:val="000000"/>
                <w:sz w:val="24"/>
                <w:szCs w:val="24"/>
              </w:rPr>
              <w:br/>
              <w:t xml:space="preserve">адресний СПДА (DETECTO SMK 100)</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94</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Сповіщувач пожежний димовий</w:t>
            </w:r>
            <w:r>
              <w:rPr>
                <w:rFonts w:ascii="Times New Roman" w:hAnsi="Times New Roman" w:cs="Times New Roman"/>
                <w:color w:val="000000"/>
                <w:sz w:val="24"/>
                <w:szCs w:val="24"/>
              </w:rPr>
              <w:br/>
              <w:t xml:space="preserve">адресний СПДА (DETECTO SMK 100)</w:t>
            </w:r>
            <w:r>
              <w:rPr>
                <w:rFonts w:ascii="Times New Roman" w:hAnsi="Times New Roman" w:cs="Times New Roman"/>
                <w:color w:val="000000"/>
                <w:sz w:val="24"/>
                <w:szCs w:val="24"/>
              </w:rPr>
              <w:br/>
              <w:t xml:space="preserve">резерв</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10</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Сповіщувач пожежний тепловий</w:t>
            </w:r>
            <w:r>
              <w:rPr>
                <w:rFonts w:ascii="Times New Roman" w:hAnsi="Times New Roman" w:cs="Times New Roman"/>
                <w:color w:val="000000"/>
                <w:sz w:val="24"/>
                <w:szCs w:val="24"/>
              </w:rPr>
              <w:br/>
              <w:t xml:space="preserve">адресний DETECTO НТ100</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9</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Сповіщувач пожежний тепловий</w:t>
            </w:r>
            <w:r>
              <w:rPr>
                <w:rFonts w:ascii="Times New Roman" w:hAnsi="Times New Roman" w:cs="Times New Roman"/>
                <w:color w:val="000000"/>
                <w:sz w:val="24"/>
                <w:szCs w:val="24"/>
              </w:rPr>
              <w:br/>
              <w:t xml:space="preserve">адресний DETECTO НТ100 резерв</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10</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Сповіщувач пожежний ручний адресний</w:t>
            </w:r>
            <w:r>
              <w:rPr>
                <w:rFonts w:ascii="Times New Roman" w:hAnsi="Times New Roman" w:cs="Times New Roman"/>
                <w:color w:val="000000"/>
                <w:sz w:val="24"/>
                <w:szCs w:val="24"/>
              </w:rPr>
              <w:br/>
              <w:t xml:space="preserve">СПДР (DETECTO MNL 100)</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13</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11</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Сповіщувач пожежний ручний адресний</w:t>
            </w:r>
            <w:r>
              <w:rPr>
                <w:rFonts w:ascii="Times New Roman" w:hAnsi="Times New Roman" w:cs="Times New Roman"/>
                <w:color w:val="000000"/>
                <w:sz w:val="24"/>
                <w:szCs w:val="24"/>
              </w:rPr>
              <w:br/>
              <w:t xml:space="preserve">СПДР (DETECTO MNL 100) резерв</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12</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Оповіщувач світловий ОС-1 "Вихід"</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24</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13</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Оповіщувач світловий ОС-6.4 (12/24V)</w:t>
            </w:r>
            <w:r>
              <w:rPr>
                <w:rFonts w:ascii="Times New Roman" w:hAnsi="Times New Roman" w:cs="Times New Roman"/>
                <w:color w:val="000000"/>
                <w:sz w:val="24"/>
                <w:szCs w:val="24"/>
              </w:rPr>
              <w:br/>
              <w:t xml:space="preserve">"Стрілка </w:t>
            </w:r>
            <w:r>
              <w:rPr>
                <w:rFonts w:ascii="Times New Roman" w:hAnsi="Times New Roman" w:cs="Times New Roman"/>
                <w:color w:val="000000"/>
                <w:sz w:val="24"/>
                <w:szCs w:val="24"/>
              </w:rPr>
              <w:t xml:space="preserve">показчик</w:t>
            </w:r>
            <w:r>
              <w:rPr>
                <w:rFonts w:ascii="Times New Roman" w:hAnsi="Times New Roman" w:cs="Times New Roman"/>
                <w:color w:val="000000"/>
                <w:sz w:val="24"/>
                <w:szCs w:val="24"/>
              </w:rPr>
              <w:t xml:space="preserve"> напрямку руху"</w:t>
            </w:r>
            <w:r/>
          </w:p>
        </w:tc>
        <w:tc>
          <w:tcPr>
            <w:tcW w:w="1427" w:type="dxa"/>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8</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14</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Оповіщувач світловий ОС-6.1 (12/24В)</w:t>
            </w:r>
            <w:r>
              <w:rPr>
                <w:rFonts w:ascii="Times New Roman" w:hAnsi="Times New Roman" w:cs="Times New Roman"/>
                <w:color w:val="000000"/>
                <w:sz w:val="24"/>
                <w:szCs w:val="24"/>
              </w:rPr>
              <w:br/>
              <w:t xml:space="preserve">"Аварійне освітлення"</w:t>
            </w:r>
            <w:r/>
          </w:p>
        </w:tc>
        <w:tc>
          <w:tcPr>
            <w:tcW w:w="1427" w:type="dxa"/>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15</w:t>
            </w:r>
            <w:r/>
          </w:p>
        </w:tc>
        <w:tc>
          <w:tcPr>
            <w:tcW w:w="6344"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Оповіщувач звуковий "Джміль"</w:t>
            </w:r>
            <w:r/>
          </w:p>
        </w:tc>
        <w:tc>
          <w:tcPr>
            <w:tcW w:w="1427" w:type="dxa"/>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16</w:t>
            </w:r>
            <w:r/>
          </w:p>
        </w:tc>
        <w:tc>
          <w:tcPr>
            <w:tcW w:w="6344" w:type="dxa"/>
            <w:vAlign w:val="center"/>
            <w:textDirection w:val="lrTb"/>
            <w:noWrap w:val="false"/>
          </w:tcPr>
          <w:p>
            <w:pPr>
              <w:contextualSpacing/>
              <w:rPr>
                <w:rFonts w:ascii="Times New Roman" w:hAnsi="Times New Roman" w:cs="Times New Roman"/>
                <w:color w:val="000000"/>
                <w:sz w:val="24"/>
                <w:szCs w:val="24"/>
              </w:rPr>
            </w:pPr>
            <w:r>
              <w:rPr>
                <w:rFonts w:ascii="Times New Roman" w:hAnsi="Times New Roman" w:cs="Times New Roman"/>
                <w:sz w:val="24"/>
                <w:szCs w:val="24"/>
              </w:rPr>
              <w:t xml:space="preserve">Монтаж системи</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послуг</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17</w:t>
            </w:r>
            <w:r/>
          </w:p>
        </w:tc>
        <w:tc>
          <w:tcPr>
            <w:tcW w:w="6344" w:type="dxa"/>
            <w:vAlign w:val="center"/>
            <w:textDirection w:val="lrTb"/>
            <w:noWrap w:val="false"/>
          </w:tcPr>
          <w:p>
            <w:pPr>
              <w:contextualSpacing/>
              <w:rPr>
                <w:rFonts w:ascii="Times New Roman" w:hAnsi="Times New Roman" w:cs="Times New Roman"/>
                <w:color w:val="000000"/>
                <w:sz w:val="24"/>
                <w:szCs w:val="24"/>
              </w:rPr>
            </w:pPr>
            <w:r>
              <w:rPr>
                <w:rFonts w:ascii="Times New Roman" w:hAnsi="Times New Roman" w:cs="Times New Roman"/>
                <w:sz w:val="24"/>
                <w:szCs w:val="24"/>
              </w:rPr>
              <w:t xml:space="preserve">Пусконалагоджування</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послуг</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bl>
      <w:tblPr>
        <w:tblStyle w:val="671"/>
        <w:tblW w:w="9622" w:type="dxa"/>
        <w:tblLook w:val="04A0" w:firstRow="1" w:lastRow="0" w:firstColumn="1" w:lastColumn="0" w:noHBand="0" w:noVBand="1"/>
      </w:tblPr>
      <w:tblGrid>
        <w:gridCol w:w="451"/>
        <w:gridCol w:w="6348"/>
        <w:gridCol w:w="1428"/>
        <w:gridCol w:w="1395"/>
      </w:tblGrid>
      <w:tr>
        <w:trPr/>
        <w:tc>
          <w:tcPr>
            <w:gridSpan w:val="4"/>
            <w:tcW w:w="9622" w:type="dxa"/>
            <w:textDirection w:val="lrTb"/>
            <w:noWrap w:val="false"/>
          </w:tcPr>
          <w:p>
            <w:pPr>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Система оповіщення про пожежу</w:t>
            </w:r>
            <w:r>
              <w:rPr>
                <w:rFonts w:ascii="Times New Roman" w:hAnsi="Times New Roman" w:cs="Times New Roman"/>
                <w:sz w:val="24"/>
                <w:szCs w:val="24"/>
              </w:rPr>
              <w:t xml:space="preserve">, </w:t>
            </w:r>
            <w:r>
              <w:rPr>
                <w:rFonts w:ascii="Times New Roman" w:hAnsi="Times New Roman" w:cs="Times New Roman"/>
                <w:i/>
                <w:iCs/>
                <w:sz w:val="24"/>
                <w:szCs w:val="24"/>
              </w:rPr>
              <w:t xml:space="preserve">у складі:</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6348"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Прилад </w:t>
            </w:r>
            <w:r>
              <w:rPr>
                <w:rFonts w:ascii="Times New Roman" w:hAnsi="Times New Roman" w:cs="Times New Roman"/>
                <w:color w:val="000000"/>
                <w:sz w:val="24"/>
                <w:szCs w:val="24"/>
              </w:rPr>
              <w:t xml:space="preserve">УКіМО</w:t>
            </w:r>
            <w:r>
              <w:rPr>
                <w:rFonts w:ascii="Times New Roman" w:hAnsi="Times New Roman" w:cs="Times New Roman"/>
                <w:color w:val="000000"/>
                <w:sz w:val="24"/>
                <w:szCs w:val="24"/>
              </w:rPr>
              <w:t xml:space="preserve"> BRAND-AUDIO-8-650-WM</w:t>
            </w:r>
            <w:r>
              <w:rPr>
                <w:rFonts w:ascii="Times New Roman" w:hAnsi="Times New Roman" w:cs="Times New Roman"/>
                <w:color w:val="000000"/>
                <w:sz w:val="24"/>
                <w:szCs w:val="24"/>
              </w:rPr>
              <w:br/>
              <w:t xml:space="preserve">(8 зон 650Вт)</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6348"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Акумуляторна батарея </w:t>
            </w:r>
            <w:r>
              <w:rPr>
                <w:rFonts w:ascii="Times New Roman" w:hAnsi="Times New Roman" w:cs="Times New Roman"/>
                <w:color w:val="000000"/>
                <w:sz w:val="24"/>
                <w:szCs w:val="24"/>
              </w:rPr>
              <w:t xml:space="preserve">Merion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EuroAGM</w:t>
            </w:r>
            <w:r>
              <w:rPr>
                <w:rFonts w:ascii="Times New Roman" w:hAnsi="Times New Roman" w:cs="Times New Roman"/>
                <w:color w:val="000000"/>
                <w:sz w:val="24"/>
                <w:szCs w:val="24"/>
              </w:rPr>
              <w:br/>
              <w:t xml:space="preserve">MLTS 12330M6 12В, 33А/ч</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6348"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Мікрофон BRAND-AUDIO-16Z-RM (16 зон)</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W w:w="6348"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Гучномовець настінний BRAND-AUDIO-</w:t>
            </w:r>
            <w:r>
              <w:rPr>
                <w:rFonts w:ascii="Times New Roman" w:hAnsi="Times New Roman" w:cs="Times New Roman"/>
                <w:color w:val="000000"/>
                <w:sz w:val="24"/>
                <w:szCs w:val="24"/>
              </w:rPr>
              <w:br/>
              <w:t xml:space="preserve">WL-3</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77</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W w:w="6348"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Гучномовець настінний BRAND-AUDIO-</w:t>
            </w:r>
            <w:r>
              <w:rPr>
                <w:rFonts w:ascii="Times New Roman" w:hAnsi="Times New Roman" w:cs="Times New Roman"/>
                <w:color w:val="000000"/>
                <w:sz w:val="24"/>
                <w:szCs w:val="24"/>
              </w:rPr>
              <w:br/>
              <w:t xml:space="preserve">WL-6</w:t>
            </w:r>
            <w:r/>
          </w:p>
        </w:tc>
        <w:tc>
          <w:tcPr>
            <w:tcW w:w="1428" w:type="dxa"/>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W w:w="6348" w:type="dxa"/>
            <w:textDirection w:val="lrTb"/>
            <w:noWrap w:val="false"/>
          </w:tcPr>
          <w:p>
            <w:pPr>
              <w:contextualSpacing/>
              <w:rPr>
                <w:rFonts w:ascii="Times New Roman" w:hAnsi="Times New Roman" w:cs="Times New Roman"/>
                <w:sz w:val="24"/>
                <w:szCs w:val="24"/>
              </w:rPr>
            </w:pPr>
            <w:r>
              <w:rPr>
                <w:rFonts w:ascii="Times New Roman" w:hAnsi="Times New Roman" w:cs="Times New Roman"/>
                <w:color w:val="000000"/>
                <w:sz w:val="24"/>
                <w:szCs w:val="24"/>
              </w:rPr>
              <w:t xml:space="preserve">Гучномовець стельовий DSP114</w:t>
            </w:r>
            <w:r>
              <w:rPr>
                <w:rFonts w:ascii="Times New Roman" w:hAnsi="Times New Roman" w:cs="Times New Roman"/>
                <w:color w:val="000000"/>
                <w:sz w:val="24"/>
                <w:szCs w:val="24"/>
              </w:rPr>
              <w:br/>
              <w:t xml:space="preserve">BRAND-AUDIO-CL-3</w:t>
            </w:r>
            <w:r/>
          </w:p>
        </w:tc>
        <w:tc>
          <w:tcPr>
            <w:tcW w:w="1428" w:type="dxa"/>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76</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W w:w="6348" w:type="dxa"/>
            <w:vAlign w:val="center"/>
            <w:textDirection w:val="lrTb"/>
            <w:noWrap w:val="false"/>
          </w:tcPr>
          <w:p>
            <w:pPr>
              <w:contextualSpacing/>
              <w:rPr>
                <w:rFonts w:ascii="Times New Roman" w:hAnsi="Times New Roman" w:cs="Times New Roman"/>
                <w:color w:val="000000"/>
                <w:sz w:val="24"/>
                <w:szCs w:val="24"/>
              </w:rPr>
            </w:pPr>
            <w:r>
              <w:rPr>
                <w:rFonts w:ascii="Times New Roman" w:hAnsi="Times New Roman" w:cs="Times New Roman"/>
                <w:sz w:val="24"/>
                <w:szCs w:val="24"/>
              </w:rPr>
              <w:t xml:space="preserve">Монтаж системи</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послуг</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W w:w="6348" w:type="dxa"/>
            <w:vAlign w:val="center"/>
            <w:textDirection w:val="lrTb"/>
            <w:noWrap w:val="false"/>
          </w:tcPr>
          <w:p>
            <w:pPr>
              <w:contextualSpacing/>
              <w:rPr>
                <w:rFonts w:ascii="Times New Roman" w:hAnsi="Times New Roman" w:cs="Times New Roman"/>
                <w:color w:val="000000"/>
                <w:sz w:val="24"/>
                <w:szCs w:val="24"/>
              </w:rPr>
            </w:pPr>
            <w:r>
              <w:rPr>
                <w:rFonts w:ascii="Times New Roman" w:hAnsi="Times New Roman" w:cs="Times New Roman"/>
                <w:sz w:val="24"/>
                <w:szCs w:val="24"/>
              </w:rPr>
              <w:t xml:space="preserve">Пусконалагоджування</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послуг</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613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719</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64</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шістсот тринадцять</w:t>
      </w:r>
      <w:r>
        <w:rPr>
          <w:rFonts w:ascii="Times New Roman" w:hAnsi="Times New Roman" w:eastAsia="Times New Roman" w:cs="Times New Roman"/>
          <w:sz w:val="24"/>
          <w:szCs w:val="24"/>
          <w:lang w:eastAsia="ru-RU"/>
        </w:rPr>
        <w:t xml:space="preserve"> 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сімсот дев’ятнадцять </w:t>
      </w:r>
      <w:r>
        <w:rPr>
          <w:rFonts w:ascii="Times New Roman" w:hAnsi="Times New Roman" w:eastAsia="Times New Roman" w:cs="Times New Roman"/>
          <w:sz w:val="24"/>
          <w:szCs w:val="24"/>
          <w:lang w:eastAsia="ru-RU"/>
        </w:rPr>
        <w:t xml:space="preserve">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64</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Calibri">
    <w:panose1 w:val="020F050202020403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5"/>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num w:numId="1">
    <w:abstractNumId w:val="7"/>
  </w:num>
  <w:num w:numId="2">
    <w:abstractNumId w:val="5"/>
  </w:num>
  <w:num w:numId="3">
    <w:abstractNumId w:val="2"/>
  </w:num>
  <w:num w:numId="4">
    <w:abstractNumId w:val="6"/>
  </w:num>
  <w:num w:numId="5">
    <w:abstractNumId w:val="1"/>
  </w:num>
  <w:num w:numId="6">
    <w:abstractNumId w:val="8"/>
  </w:num>
  <w:num w:numId="7">
    <w:abstractNumId w:val="3"/>
  </w:num>
  <w:num w:numId="8">
    <w:abstractNumId w:val="9"/>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5"/>
    <w:next w:val="665"/>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66"/>
    <w:link w:val="13"/>
    <w:uiPriority w:val="9"/>
    <w:rPr>
      <w:rFonts w:ascii="Arial" w:hAnsi="Arial" w:eastAsia="Arial" w:cs="Arial"/>
      <w:sz w:val="40"/>
      <w:szCs w:val="40"/>
    </w:rPr>
  </w:style>
  <w:style w:type="paragraph" w:styleId="15">
    <w:name w:val="Heading 2"/>
    <w:basedOn w:val="665"/>
    <w:next w:val="665"/>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66"/>
    <w:link w:val="15"/>
    <w:uiPriority w:val="9"/>
    <w:rPr>
      <w:rFonts w:ascii="Arial" w:hAnsi="Arial" w:eastAsia="Arial" w:cs="Arial"/>
      <w:sz w:val="34"/>
    </w:rPr>
  </w:style>
  <w:style w:type="paragraph" w:styleId="17">
    <w:name w:val="Heading 3"/>
    <w:basedOn w:val="665"/>
    <w:next w:val="66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6"/>
    <w:link w:val="17"/>
    <w:uiPriority w:val="9"/>
    <w:rPr>
      <w:rFonts w:ascii="Arial" w:hAnsi="Arial" w:eastAsia="Arial" w:cs="Arial"/>
      <w:sz w:val="30"/>
      <w:szCs w:val="30"/>
    </w:rPr>
  </w:style>
  <w:style w:type="paragraph" w:styleId="19">
    <w:name w:val="Heading 4"/>
    <w:basedOn w:val="665"/>
    <w:next w:val="66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6"/>
    <w:link w:val="19"/>
    <w:uiPriority w:val="9"/>
    <w:rPr>
      <w:rFonts w:ascii="Arial" w:hAnsi="Arial" w:eastAsia="Arial" w:cs="Arial"/>
      <w:b/>
      <w:bCs/>
      <w:sz w:val="26"/>
      <w:szCs w:val="26"/>
    </w:rPr>
  </w:style>
  <w:style w:type="paragraph" w:styleId="21">
    <w:name w:val="Heading 5"/>
    <w:basedOn w:val="665"/>
    <w:next w:val="66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6"/>
    <w:link w:val="21"/>
    <w:uiPriority w:val="9"/>
    <w:rPr>
      <w:rFonts w:ascii="Arial" w:hAnsi="Arial" w:eastAsia="Arial" w:cs="Arial"/>
      <w:b/>
      <w:bCs/>
      <w:sz w:val="24"/>
      <w:szCs w:val="24"/>
    </w:rPr>
  </w:style>
  <w:style w:type="paragraph" w:styleId="23">
    <w:name w:val="Heading 6"/>
    <w:basedOn w:val="665"/>
    <w:next w:val="66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6"/>
    <w:link w:val="23"/>
    <w:uiPriority w:val="9"/>
    <w:rPr>
      <w:rFonts w:ascii="Arial" w:hAnsi="Arial" w:eastAsia="Arial" w:cs="Arial"/>
      <w:b/>
      <w:bCs/>
      <w:sz w:val="22"/>
      <w:szCs w:val="22"/>
    </w:rPr>
  </w:style>
  <w:style w:type="paragraph" w:styleId="25">
    <w:name w:val="Heading 7"/>
    <w:basedOn w:val="665"/>
    <w:next w:val="66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6"/>
    <w:link w:val="25"/>
    <w:uiPriority w:val="9"/>
    <w:rPr>
      <w:rFonts w:ascii="Arial" w:hAnsi="Arial" w:eastAsia="Arial" w:cs="Arial"/>
      <w:b/>
      <w:bCs/>
      <w:i/>
      <w:iCs/>
      <w:sz w:val="22"/>
      <w:szCs w:val="22"/>
    </w:rPr>
  </w:style>
  <w:style w:type="paragraph" w:styleId="27">
    <w:name w:val="Heading 8"/>
    <w:basedOn w:val="665"/>
    <w:next w:val="66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6"/>
    <w:link w:val="27"/>
    <w:uiPriority w:val="9"/>
    <w:rPr>
      <w:rFonts w:ascii="Arial" w:hAnsi="Arial" w:eastAsia="Arial" w:cs="Arial"/>
      <w:i/>
      <w:iCs/>
      <w:sz w:val="22"/>
      <w:szCs w:val="22"/>
    </w:rPr>
  </w:style>
  <w:style w:type="paragraph" w:styleId="29">
    <w:name w:val="Heading 9"/>
    <w:basedOn w:val="665"/>
    <w:next w:val="66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6"/>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65"/>
    <w:next w:val="665"/>
    <w:link w:val="35"/>
    <w:uiPriority w:val="10"/>
    <w:qFormat/>
    <w:pPr>
      <w:contextualSpacing/>
      <w:spacing w:before="300" w:after="200"/>
    </w:pPr>
    <w:rPr>
      <w:sz w:val="48"/>
      <w:szCs w:val="48"/>
    </w:rPr>
  </w:style>
  <w:style w:type="character" w:styleId="35">
    <w:name w:val="Title Char"/>
    <w:basedOn w:val="666"/>
    <w:link w:val="34"/>
    <w:uiPriority w:val="10"/>
    <w:rPr>
      <w:sz w:val="48"/>
      <w:szCs w:val="48"/>
    </w:rPr>
  </w:style>
  <w:style w:type="paragraph" w:styleId="36">
    <w:name w:val="Subtitle"/>
    <w:basedOn w:val="665"/>
    <w:next w:val="665"/>
    <w:link w:val="37"/>
    <w:uiPriority w:val="11"/>
    <w:qFormat/>
    <w:pPr>
      <w:spacing w:before="200" w:after="200"/>
    </w:pPr>
    <w:rPr>
      <w:sz w:val="24"/>
      <w:szCs w:val="24"/>
    </w:rPr>
  </w:style>
  <w:style w:type="character" w:styleId="37">
    <w:name w:val="Subtitle Char"/>
    <w:basedOn w:val="666"/>
    <w:link w:val="36"/>
    <w:uiPriority w:val="11"/>
    <w:rPr>
      <w:sz w:val="24"/>
      <w:szCs w:val="24"/>
    </w:rPr>
  </w:style>
  <w:style w:type="paragraph" w:styleId="38">
    <w:name w:val="Quote"/>
    <w:basedOn w:val="665"/>
    <w:next w:val="665"/>
    <w:link w:val="39"/>
    <w:uiPriority w:val="29"/>
    <w:qFormat/>
    <w:pPr>
      <w:ind w:left="720" w:right="720"/>
    </w:pPr>
    <w:rPr>
      <w:i/>
    </w:rPr>
  </w:style>
  <w:style w:type="character" w:styleId="39">
    <w:name w:val="Quote Char"/>
    <w:link w:val="38"/>
    <w:uiPriority w:val="29"/>
    <w:rPr>
      <w:i/>
    </w:rPr>
  </w:style>
  <w:style w:type="paragraph" w:styleId="40">
    <w:name w:val="Intense Quote"/>
    <w:basedOn w:val="665"/>
    <w:next w:val="66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65"/>
    <w:link w:val="43"/>
    <w:uiPriority w:val="99"/>
    <w:unhideWhenUsed/>
    <w:pPr>
      <w:spacing w:after="0" w:line="240" w:lineRule="auto"/>
      <w:tabs>
        <w:tab w:val="center" w:pos="7143" w:leader="none"/>
        <w:tab w:val="right" w:pos="14287" w:leader="none"/>
      </w:tabs>
    </w:pPr>
  </w:style>
  <w:style w:type="character" w:styleId="43">
    <w:name w:val="Header Char"/>
    <w:basedOn w:val="666"/>
    <w:link w:val="42"/>
    <w:uiPriority w:val="99"/>
  </w:style>
  <w:style w:type="character" w:styleId="45">
    <w:name w:val="Footer Char"/>
    <w:basedOn w:val="666"/>
    <w:link w:val="675"/>
    <w:uiPriority w:val="99"/>
  </w:style>
  <w:style w:type="paragraph" w:styleId="46">
    <w:name w:val="Caption"/>
    <w:basedOn w:val="665"/>
    <w:next w:val="665"/>
    <w:uiPriority w:val="35"/>
    <w:semiHidden/>
    <w:unhideWhenUsed/>
    <w:qFormat/>
    <w:pPr>
      <w:spacing w:line="276" w:lineRule="auto"/>
    </w:pPr>
    <w:rPr>
      <w:b/>
      <w:bCs/>
      <w:color w:val="4f81bd" w:themeColor="accent1"/>
      <w:sz w:val="18"/>
      <w:szCs w:val="18"/>
    </w:rPr>
  </w:style>
  <w:style w:type="character" w:styleId="47">
    <w:name w:val="Caption Char"/>
    <w:basedOn w:val="46"/>
    <w:link w:val="675"/>
    <w:uiPriority w:val="99"/>
  </w:style>
  <w:style w:type="table" w:styleId="49">
    <w:name w:val="Table Grid Light"/>
    <w:basedOn w:val="6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6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6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6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6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6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6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6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6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6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6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6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6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6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6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6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6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6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6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6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6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6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6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6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6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6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6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6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6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6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6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6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6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6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6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6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6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6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6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6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6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6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6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6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6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6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6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6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6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6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6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6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6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6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6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6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6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6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6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6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6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6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6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6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6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6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6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6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6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6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6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6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6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6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6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6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66"/>
    <w:uiPriority w:val="99"/>
    <w:unhideWhenUsed/>
    <w:rPr>
      <w:vertAlign w:val="superscript"/>
    </w:rPr>
  </w:style>
  <w:style w:type="paragraph" w:styleId="178">
    <w:name w:val="endnote text"/>
    <w:basedOn w:val="66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66"/>
    <w:uiPriority w:val="99"/>
    <w:semiHidden/>
    <w:unhideWhenUsed/>
    <w:rPr>
      <w:vertAlign w:val="superscript"/>
    </w:rPr>
  </w:style>
  <w:style w:type="paragraph" w:styleId="181">
    <w:name w:val="toc 1"/>
    <w:basedOn w:val="665"/>
    <w:next w:val="665"/>
    <w:uiPriority w:val="39"/>
    <w:unhideWhenUsed/>
    <w:pPr>
      <w:ind w:left="0" w:right="0" w:firstLine="0"/>
      <w:spacing w:after="57"/>
    </w:pPr>
  </w:style>
  <w:style w:type="paragraph" w:styleId="182">
    <w:name w:val="toc 2"/>
    <w:basedOn w:val="665"/>
    <w:next w:val="665"/>
    <w:uiPriority w:val="39"/>
    <w:unhideWhenUsed/>
    <w:pPr>
      <w:ind w:left="283" w:right="0" w:firstLine="0"/>
      <w:spacing w:after="57"/>
    </w:pPr>
  </w:style>
  <w:style w:type="paragraph" w:styleId="183">
    <w:name w:val="toc 3"/>
    <w:basedOn w:val="665"/>
    <w:next w:val="665"/>
    <w:uiPriority w:val="39"/>
    <w:unhideWhenUsed/>
    <w:pPr>
      <w:ind w:left="567" w:right="0" w:firstLine="0"/>
      <w:spacing w:after="57"/>
    </w:pPr>
  </w:style>
  <w:style w:type="paragraph" w:styleId="184">
    <w:name w:val="toc 4"/>
    <w:basedOn w:val="665"/>
    <w:next w:val="665"/>
    <w:uiPriority w:val="39"/>
    <w:unhideWhenUsed/>
    <w:pPr>
      <w:ind w:left="850" w:right="0" w:firstLine="0"/>
      <w:spacing w:after="57"/>
    </w:pPr>
  </w:style>
  <w:style w:type="paragraph" w:styleId="185">
    <w:name w:val="toc 5"/>
    <w:basedOn w:val="665"/>
    <w:next w:val="665"/>
    <w:uiPriority w:val="39"/>
    <w:unhideWhenUsed/>
    <w:pPr>
      <w:ind w:left="1134" w:right="0" w:firstLine="0"/>
      <w:spacing w:after="57"/>
    </w:pPr>
  </w:style>
  <w:style w:type="paragraph" w:styleId="186">
    <w:name w:val="toc 6"/>
    <w:basedOn w:val="665"/>
    <w:next w:val="665"/>
    <w:uiPriority w:val="39"/>
    <w:unhideWhenUsed/>
    <w:pPr>
      <w:ind w:left="1417" w:right="0" w:firstLine="0"/>
      <w:spacing w:after="57"/>
    </w:pPr>
  </w:style>
  <w:style w:type="paragraph" w:styleId="187">
    <w:name w:val="toc 7"/>
    <w:basedOn w:val="665"/>
    <w:next w:val="665"/>
    <w:uiPriority w:val="39"/>
    <w:unhideWhenUsed/>
    <w:pPr>
      <w:ind w:left="1701" w:right="0" w:firstLine="0"/>
      <w:spacing w:after="57"/>
    </w:pPr>
  </w:style>
  <w:style w:type="paragraph" w:styleId="188">
    <w:name w:val="toc 8"/>
    <w:basedOn w:val="665"/>
    <w:next w:val="665"/>
    <w:uiPriority w:val="39"/>
    <w:unhideWhenUsed/>
    <w:pPr>
      <w:ind w:left="1984" w:right="0" w:firstLine="0"/>
      <w:spacing w:after="57"/>
    </w:pPr>
  </w:style>
  <w:style w:type="paragraph" w:styleId="189">
    <w:name w:val="toc 9"/>
    <w:basedOn w:val="665"/>
    <w:next w:val="66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5"/>
    <w:next w:val="665"/>
    <w:uiPriority w:val="99"/>
    <w:unhideWhenUsed/>
    <w:pPr>
      <w:spacing w:after="0" w:afterAutospacing="0"/>
    </w:pPr>
  </w:style>
  <w:style w:type="paragraph" w:styleId="665" w:default="1">
    <w:name w:val="Normal"/>
    <w:qFormat/>
    <w:rPr>
      <w:lang w:val="uk-UA"/>
    </w:rPr>
  </w:style>
  <w:style w:type="character" w:styleId="666" w:default="1">
    <w:name w:val="Default Paragraph Font"/>
    <w:uiPriority w:val="1"/>
    <w:semiHidden/>
    <w:unhideWhenUsed/>
  </w:style>
  <w:style w:type="table" w:styleId="667" w:default="1">
    <w:name w:val="Normal Table"/>
    <w:uiPriority w:val="99"/>
    <w:semiHidden/>
    <w:unhideWhenUsed/>
    <w:tblPr>
      <w:tblInd w:w="0" w:type="dxa"/>
      <w:tblCellMar>
        <w:left w:w="108" w:type="dxa"/>
        <w:top w:w="0" w:type="dxa"/>
        <w:right w:w="108" w:type="dxa"/>
        <w:bottom w:w="0" w:type="dxa"/>
      </w:tblCellMar>
    </w:tblPr>
  </w:style>
  <w:style w:type="numbering" w:styleId="668" w:default="1">
    <w:name w:val="No List"/>
    <w:uiPriority w:val="99"/>
    <w:semiHidden/>
    <w:unhideWhenUsed/>
  </w:style>
  <w:style w:type="paragraph" w:styleId="669">
    <w:name w:val="List Paragraph"/>
    <w:basedOn w:val="665"/>
    <w:link w:val="670"/>
    <w:uiPriority w:val="34"/>
    <w:qFormat/>
    <w:pPr>
      <w:contextualSpacing/>
      <w:ind w:left="720"/>
      <w:spacing w:after="200" w:line="276" w:lineRule="auto"/>
    </w:pPr>
    <w:rPr>
      <w:rFonts w:ascii="Calibri" w:hAnsi="Calibri" w:eastAsia="Calibri" w:cs="Calibri"/>
      <w:lang w:val="ru-RU" w:eastAsia="zh-CN"/>
    </w:rPr>
  </w:style>
  <w:style w:type="character" w:styleId="670" w:customStyle="1">
    <w:name w:val="Абзац списку Знак"/>
    <w:link w:val="669"/>
    <w:uiPriority w:val="34"/>
    <w:rPr>
      <w:rFonts w:ascii="Calibri" w:hAnsi="Calibri" w:eastAsia="Calibri" w:cs="Calibri"/>
      <w:lang w:eastAsia="zh-CN"/>
    </w:rPr>
  </w:style>
  <w:style w:type="table" w:styleId="671">
    <w:name w:val="Table Grid"/>
    <w:basedOn w:val="66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2" w:customStyle="1">
    <w:name w:val="Сетка таблицы2"/>
    <w:basedOn w:val="667"/>
    <w:next w:val="671"/>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3">
    <w:name w:val="Normal (Web)"/>
    <w:basedOn w:val="665"/>
    <w:link w:val="680"/>
    <w:unhideWhenUsed/>
    <w:qFormat/>
    <w:rPr>
      <w:rFonts w:ascii="Times New Roman" w:hAnsi="Times New Roman" w:cs="Times New Roman"/>
      <w:sz w:val="24"/>
      <w:szCs w:val="24"/>
    </w:rPr>
  </w:style>
  <w:style w:type="table" w:styleId="674" w:customStyle="1">
    <w:name w:val="Сетка таблицы1"/>
    <w:basedOn w:val="667"/>
    <w:next w:val="671"/>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5">
    <w:name w:val="Footer"/>
    <w:basedOn w:val="665"/>
    <w:link w:val="676"/>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76" w:customStyle="1">
    <w:name w:val="Нижній колонтитул Знак"/>
    <w:basedOn w:val="666"/>
    <w:link w:val="675"/>
    <w:uiPriority w:val="99"/>
    <w:rPr>
      <w:rFonts w:ascii="Calibri" w:hAnsi="Calibri" w:eastAsia="Calibri" w:cs="Calibri"/>
      <w:lang w:eastAsia="zh-CN"/>
    </w:rPr>
  </w:style>
  <w:style w:type="paragraph" w:styleId="677"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78">
    <w:name w:val="Hyperlink"/>
    <w:basedOn w:val="666"/>
    <w:uiPriority w:val="99"/>
    <w:unhideWhenUsed/>
    <w:rPr>
      <w:color w:val="0563c1" w:themeColor="hyperlink"/>
      <w:u w:val="single"/>
    </w:rPr>
  </w:style>
  <w:style w:type="character" w:styleId="679" w:customStyle="1">
    <w:name w:val="xfm_93972720"/>
    <w:basedOn w:val="666"/>
  </w:style>
  <w:style w:type="character" w:styleId="680" w:customStyle="1">
    <w:name w:val="Звичайний (веб) Знак"/>
    <w:link w:val="673"/>
    <w:qFormat/>
    <w:rPr>
      <w:rFonts w:ascii="Times New Roman" w:hAnsi="Times New Roman" w:cs="Times New Roman"/>
      <w:sz w:val="24"/>
      <w:szCs w:val="24"/>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49</cp:revision>
  <dcterms:created xsi:type="dcterms:W3CDTF">2022-11-01T12:47:00Z</dcterms:created>
  <dcterms:modified xsi:type="dcterms:W3CDTF">2023-04-06T13:33:55Z</dcterms:modified>
</cp:coreProperties>
</file>