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комплекту обладнання системи «Автоматизація і диспетчеризація інженерного обладнання» об’єкта «Реконструкція будівлі кінотеатру «Спутник» під адміністративно-інформаційний центр ДУ ЦІТ МВС України за </w:t>
      </w:r>
      <w:r>
        <w:rPr>
          <w:b w:val="0"/>
          <w:bCs w:val="0"/>
          <w:sz w:val="24"/>
          <w:szCs w:val="24"/>
        </w:rPr>
        <w:t xml:space="preserve">адресою</w:t>
      </w:r>
      <w:r>
        <w:rPr>
          <w:b w:val="0"/>
          <w:bCs w:val="0"/>
          <w:sz w:val="24"/>
          <w:szCs w:val="24"/>
        </w:rPr>
        <w:t xml:space="preserve">: м. Дніпро, вул. Титова, 18» за ДК 021:2015: </w:t>
      </w:r>
      <w:bookmarkStart w:id="0" w:name="_Hlk174106703"/>
      <w:r>
        <w:rPr>
          <w:b w:val="0"/>
          <w:bCs w:val="0"/>
          <w:sz w:val="24"/>
          <w:szCs w:val="24"/>
        </w:rPr>
        <w:t xml:space="preserve">42960000-3 Системи керування та контролю, друкарське і графічне обладнання та обладнання для автоматизації офісу й обробки інформації</w:t>
      </w:r>
      <w:bookmarkEnd w:id="0"/>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9266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комплекту обладнання системи «Автоматизація і диспетчеризація інженерного обладнання» об’єкта «Реконструкція будівлі кінотеатру «Спутник» під адміністративно-інформаційний центр ДУ ЦІТ МВС України за </w:t>
      </w:r>
      <w:r>
        <w:rPr>
          <w:rFonts w:ascii="Times New Roman" w:hAnsi="Times New Roman" w:cs="Times New Roman"/>
          <w:bCs/>
          <w:sz w:val="24"/>
          <w:szCs w:val="24"/>
        </w:rPr>
        <w:t xml:space="preserve">адресою</w:t>
      </w:r>
      <w:r>
        <w:rPr>
          <w:rFonts w:ascii="Times New Roman" w:hAnsi="Times New Roman" w:cs="Times New Roman"/>
          <w:bCs/>
          <w:sz w:val="24"/>
          <w:szCs w:val="24"/>
        </w:rPr>
        <w:t xml:space="preserve">: м. Дніпро, вул. Титова, 18» за ДК 021:2015: 42960000-3 Системи керування та контролю, друкарське і графічне обладнання та обладнання для автоматизації офісу й обробки інформації</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1" w:name="_Hlk174106781"/>
      <w:r>
        <w:rPr>
          <w:rFonts w:ascii="Times New Roman" w:hAnsi="Times New Roman" w:cs="Times New Roman"/>
          <w:b/>
          <w:color w:val="000000"/>
          <w:sz w:val="24"/>
          <w:szCs w:val="24"/>
        </w:rPr>
        <w:t xml:space="preserve">ТЕХНІЧНІ ВИМОГИ</w:t>
      </w:r>
      <w:r/>
    </w:p>
    <w:tbl>
      <w:tblPr>
        <w:tblpPr w:horzAnchor="page" w:tblpX="1486" w:vertAnchor="text" w:tblpY="-61" w:leftFromText="180" w:topFromText="0" w:rightFromText="180" w:bottomFromText="0"/>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678"/>
        <w:gridCol w:w="5838"/>
        <w:gridCol w:w="1559"/>
        <w:gridCol w:w="1559"/>
      </w:tblGrid>
      <w:tr>
        <w:trPr>
          <w:trHeight w:val="861" w:hRule="exact"/>
        </w:trPr>
        <w:tc>
          <w:tcPr>
            <w:shd w:val="clear" w:color="auto" w:fill="ffffff"/>
            <w:tcW w:w="678" w:type="dxa"/>
            <w:vAlign w:val="center"/>
            <w:textDirection w:val="lrTb"/>
            <w:noWrap w:val="false"/>
          </w:tcPr>
          <w:p>
            <w:pPr>
              <w:pStyle w:val="753"/>
              <w:jc w:val="center"/>
              <w:rPr>
                <w:rFonts w:ascii="Times New Roman" w:hAnsi="Times New Roman" w:cs="Times New Roman"/>
                <w:sz w:val="24"/>
                <w:szCs w:val="24"/>
              </w:rPr>
            </w:pPr>
            <w:r>
              <w:rPr>
                <w:rFonts w:ascii="Times New Roman" w:hAnsi="Times New Roman" w:cs="Times New Roman"/>
                <w:b/>
                <w:bCs/>
                <w:sz w:val="24"/>
                <w:szCs w:val="24"/>
              </w:rPr>
              <w:t xml:space="preserve">№</w:t>
            </w:r>
            <w:r/>
          </w:p>
        </w:tc>
        <w:tc>
          <w:tcPr>
            <w:shd w:val="clear" w:color="auto" w:fill="ffffff"/>
            <w:tcW w:w="5838" w:type="dxa"/>
            <w:vAlign w:val="center"/>
            <w:textDirection w:val="lrTb"/>
            <w:noWrap w:val="false"/>
          </w:tcPr>
          <w:p>
            <w:pPr>
              <w:pStyle w:val="753"/>
              <w:jc w:val="center"/>
              <w:rPr>
                <w:rFonts w:ascii="Times New Roman" w:hAnsi="Times New Roman" w:cs="Times New Roman"/>
                <w:sz w:val="24"/>
                <w:szCs w:val="24"/>
              </w:rPr>
            </w:pPr>
            <w:r>
              <w:rPr>
                <w:rFonts w:ascii="Times New Roman" w:hAnsi="Times New Roman" w:cs="Times New Roman"/>
                <w:b/>
                <w:bCs/>
                <w:sz w:val="24"/>
                <w:szCs w:val="24"/>
              </w:rPr>
              <w:t xml:space="preserve">Найменування</w:t>
            </w:r>
            <w:r/>
          </w:p>
        </w:tc>
        <w:tc>
          <w:tcPr>
            <w:shd w:val="clear" w:color="auto" w:fill="ffffff"/>
            <w:tcW w:w="1559" w:type="dxa"/>
            <w:vAlign w:val="center"/>
            <w:textDirection w:val="lrTb"/>
            <w:noWrap w:val="false"/>
          </w:tcPr>
          <w:p>
            <w:pPr>
              <w:pStyle w:val="753"/>
              <w:jc w:val="center"/>
              <w:rPr>
                <w:rFonts w:ascii="Times New Roman" w:hAnsi="Times New Roman" w:cs="Times New Roman"/>
                <w:sz w:val="24"/>
                <w:szCs w:val="24"/>
              </w:rPr>
            </w:pPr>
            <w:r>
              <w:rPr>
                <w:rFonts w:ascii="Times New Roman" w:hAnsi="Times New Roman" w:cs="Times New Roman"/>
                <w:b/>
                <w:bCs/>
                <w:sz w:val="24"/>
                <w:szCs w:val="24"/>
              </w:rPr>
              <w:t xml:space="preserve">Од.</w:t>
            </w:r>
            <w:r/>
          </w:p>
          <w:p>
            <w:pPr>
              <w:pStyle w:val="753"/>
              <w:jc w:val="center"/>
              <w:rPr>
                <w:rFonts w:ascii="Times New Roman" w:hAnsi="Times New Roman" w:cs="Times New Roman"/>
                <w:sz w:val="24"/>
                <w:szCs w:val="24"/>
              </w:rPr>
            </w:pPr>
            <w:r>
              <w:rPr>
                <w:rFonts w:ascii="Times New Roman" w:hAnsi="Times New Roman" w:cs="Times New Roman"/>
                <w:b/>
                <w:bCs/>
                <w:sz w:val="24"/>
                <w:szCs w:val="24"/>
              </w:rPr>
              <w:t xml:space="preserve">виміру</w:t>
            </w:r>
            <w:r/>
          </w:p>
        </w:tc>
        <w:tc>
          <w:tcPr>
            <w:shd w:val="clear" w:color="auto" w:fill="ffffff"/>
            <w:tcW w:w="1559" w:type="dxa"/>
            <w:vAlign w:val="center"/>
            <w:textDirection w:val="lrTb"/>
            <w:noWrap w:val="false"/>
          </w:tcPr>
          <w:p>
            <w:pPr>
              <w:pStyle w:val="753"/>
              <w:jc w:val="center"/>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993" w:hRule="exact"/>
        </w:trPr>
        <w:tc>
          <w:tcPr>
            <w:shd w:val="clear" w:color="auto" w:fill="ffffff"/>
            <w:tcW w:w="678" w:type="dxa"/>
            <w:vAlign w:val="center"/>
            <w:textDirection w:val="lrTb"/>
            <w:noWrap w:val="false"/>
          </w:tcPr>
          <w:p>
            <w:pPr>
              <w:pStyle w:val="753"/>
              <w:jc w:val="center"/>
              <w:rPr>
                <w:rFonts w:ascii="Times New Roman" w:hAnsi="Times New Roman" w:cs="Times New Roman"/>
                <w:b/>
                <w:bCs/>
                <w:sz w:val="24"/>
                <w:szCs w:val="24"/>
              </w:rPr>
            </w:pPr>
            <w:r>
              <w:rPr>
                <w:rFonts w:ascii="Times New Roman" w:hAnsi="Times New Roman" w:cs="Times New Roman"/>
                <w:b/>
                <w:bCs/>
                <w:sz w:val="24"/>
                <w:szCs w:val="24"/>
              </w:rPr>
              <w:t xml:space="preserve">1</w:t>
            </w:r>
            <w:r/>
          </w:p>
        </w:tc>
        <w:tc>
          <w:tcPr>
            <w:shd w:val="clear" w:color="auto" w:fill="ffffff"/>
            <w:tcW w:w="5838" w:type="dxa"/>
            <w:vAlign w:val="center"/>
            <w:textDirection w:val="lrTb"/>
            <w:noWrap w:val="false"/>
          </w:tcPr>
          <w:p>
            <w:pPr>
              <w:pStyle w:val="753"/>
              <w:ind w:left="164"/>
              <w:rPr>
                <w:rFonts w:ascii="Times New Roman" w:hAnsi="Times New Roman" w:cs="Times New Roman"/>
                <w:b/>
                <w:bCs/>
                <w:sz w:val="24"/>
                <w:szCs w:val="24"/>
              </w:rPr>
            </w:pPr>
            <w:r>
              <w:rPr>
                <w:rFonts w:ascii="Times New Roman" w:hAnsi="Times New Roman" w:cs="Times New Roman"/>
                <w:b/>
                <w:bCs/>
                <w:sz w:val="24"/>
                <w:szCs w:val="24"/>
              </w:rPr>
              <w:t xml:space="preserve">Комплект </w:t>
            </w:r>
            <w:r>
              <w:rPr>
                <w:rFonts w:ascii="Times New Roman" w:hAnsi="Times New Roman" w:cs="Times New Roman"/>
                <w:b/>
                <w:bCs/>
                <w:sz w:val="24"/>
                <w:szCs w:val="24"/>
              </w:rPr>
              <w:t xml:space="preserve">обладнання</w:t>
            </w:r>
            <w:r>
              <w:rPr>
                <w:rFonts w:ascii="Times New Roman" w:hAnsi="Times New Roman" w:cs="Times New Roman"/>
                <w:b/>
                <w:bCs/>
                <w:sz w:val="24"/>
                <w:szCs w:val="24"/>
              </w:rPr>
              <w:t xml:space="preserve"> та </w:t>
            </w:r>
            <w:r>
              <w:rPr>
                <w:rFonts w:ascii="Times New Roman" w:hAnsi="Times New Roman" w:cs="Times New Roman"/>
                <w:b/>
                <w:bCs/>
                <w:sz w:val="24"/>
                <w:szCs w:val="24"/>
              </w:rPr>
              <w:t xml:space="preserve">устаткування</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системи</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автоматизації</w:t>
            </w:r>
            <w:r>
              <w:rPr>
                <w:rFonts w:ascii="Times New Roman" w:hAnsi="Times New Roman" w:cs="Times New Roman"/>
                <w:b/>
                <w:bCs/>
                <w:sz w:val="24"/>
                <w:szCs w:val="24"/>
              </w:rPr>
              <w:t xml:space="preserve"> та </w:t>
            </w:r>
            <w:r>
              <w:rPr>
                <w:rFonts w:ascii="Times New Roman" w:hAnsi="Times New Roman" w:cs="Times New Roman"/>
                <w:b/>
                <w:bCs/>
                <w:sz w:val="24"/>
                <w:szCs w:val="24"/>
              </w:rPr>
              <w:t xml:space="preserve">диспетчеризації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інженерного</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обладнання</w:t>
            </w:r>
            <w:r/>
          </w:p>
        </w:tc>
        <w:tc>
          <w:tcPr>
            <w:shd w:val="clear" w:color="auto" w:fill="ffffff"/>
            <w:tcW w:w="1559" w:type="dxa"/>
            <w:vAlign w:val="center"/>
            <w:textDirection w:val="lrTb"/>
            <w:noWrap w:val="false"/>
          </w:tcPr>
          <w:p>
            <w:pPr>
              <w:pStyle w:val="753"/>
              <w:jc w:val="center"/>
              <w:rPr>
                <w:rFonts w:ascii="Times New Roman" w:hAnsi="Times New Roman" w:cs="Times New Roman"/>
                <w:b/>
                <w:bCs/>
                <w:sz w:val="24"/>
                <w:szCs w:val="24"/>
              </w:rPr>
            </w:pPr>
            <w:r>
              <w:rPr>
                <w:rFonts w:ascii="Times New Roman" w:hAnsi="Times New Roman" w:cs="Times New Roman"/>
                <w:b/>
                <w:bCs/>
                <w:sz w:val="24"/>
                <w:szCs w:val="24"/>
              </w:rPr>
              <w:t xml:space="preserve">компл</w:t>
            </w:r>
            <w:r>
              <w:rPr>
                <w:rFonts w:ascii="Times New Roman" w:hAnsi="Times New Roman" w:cs="Times New Roman"/>
                <w:b/>
                <w:bCs/>
                <w:sz w:val="24"/>
                <w:szCs w:val="24"/>
              </w:rPr>
              <w:t xml:space="preserve">.</w:t>
            </w:r>
            <w:r/>
          </w:p>
        </w:tc>
        <w:tc>
          <w:tcPr>
            <w:shd w:val="clear" w:color="auto" w:fill="ffffff"/>
            <w:tcW w:w="1559" w:type="dxa"/>
            <w:vAlign w:val="center"/>
            <w:textDirection w:val="lrTb"/>
            <w:noWrap w:val="false"/>
          </w:tcPr>
          <w:p>
            <w:pPr>
              <w:pStyle w:val="753"/>
              <w:ind w:hanging="12"/>
              <w:jc w:val="center"/>
              <w:rPr>
                <w:rFonts w:ascii="Times New Roman" w:hAnsi="Times New Roman" w:cs="Times New Roman"/>
                <w:b/>
                <w:bCs/>
                <w:sz w:val="24"/>
                <w:szCs w:val="24"/>
              </w:rPr>
            </w:pPr>
            <w:r>
              <w:rPr>
                <w:rFonts w:ascii="Times New Roman" w:hAnsi="Times New Roman" w:cs="Times New Roman"/>
                <w:b/>
                <w:bCs/>
                <w:sz w:val="24"/>
                <w:szCs w:val="24"/>
              </w:rPr>
              <w:t xml:space="preserve">1</w:t>
            </w:r>
            <w:r/>
          </w:p>
        </w:tc>
      </w:tr>
    </w:tbl>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p>
      <w:pPr>
        <w:ind w:firstLine="72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Реалізувати проект згідно проектної документації. </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диспетчеризації має інтегрувати в єдине інформаційно-керівне середовище всі підсистеми автоматичного управління, забезпечувати візуалізацію та архівування параметрів, а також контроль функціонування наступних технологічних підсистем об'єкта:</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Водопровід та каналізація(контроль роботи насосних установок,);</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Опалення, вентиляція та кондиціювання(моніторинг та управління припливно-витяжними установками та вентиляцією Центру Обробки Даних (ЦОД));</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Електропостачання та електроспоживання;</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ліфти(моніторинг та відображення стану ліфтів «Робота» та/або «Аварія»);</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інтеграція з протипожежними системами(контроль сигналу «Пожежа» від пожежної сигналізації, відпрацювання сценаріїв відключення/спрацювання інженерного обладнання у разі надходження відповідного сигналу);</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всіх перелічених вище інженерних систем повинна бути забезпечена інтеграція відповідних підсистем автоматизації та диспетчеризації в рамках єдиного програмно-апаратного комплексу із забезпеченням мінімальної номенклатури обладнання та ПЗ.</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СДІО повинна мати наступні характеристики:</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відкритість;</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модульність;</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розподіленість</w:t>
      </w:r>
      <w:r>
        <w:rPr>
          <w:rFonts w:ascii="Times New Roman" w:hAnsi="Times New Roman" w:cs="Times New Roman"/>
          <w:sz w:val="24"/>
          <w:szCs w:val="24"/>
        </w:rPr>
        <w:t xml:space="preserve">;</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масштабованість.</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СДІО має мати таку структуру:</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Верхній рівень – система диспетче</w:t>
      </w:r>
      <w:r>
        <w:rPr>
          <w:rFonts w:ascii="Times New Roman" w:hAnsi="Times New Roman" w:cs="Times New Roman"/>
          <w:sz w:val="24"/>
          <w:szCs w:val="24"/>
        </w:rPr>
        <w:t xml:space="preserve">ризації. Універсальна апаратно-програмна система, що забезпечує візуалізацію, сигналізацію, архівування параметрів та подій, а також інші, специфічні для різних інженерних систем, функції, що спрощують аналіз стану інженерного обладнання та управління ним.</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Нижній рівень – система автоматичного управління технологічними підсистемами, виконана на базі мікропроцесорних контролерів модульного типу.</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диспетчеризації повинна бути виконана на базі персональних комп'ютерів, об'єднаних у локальну обчислювальну мережу, та виконувати такі функції:</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Збір, обробку та архівування інформації, що надходить з периферійних контролерів АСУ, до бази даних (БД);</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Візуалізацію параметрів, автоматичне управління та оперативний контроль технологічних підсистем об'єкта з боку оператора, що здійснює інтерактивне управління ЦД за допомогою робочих станцій.</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Точна кількість та місця розміщення комп'ютерів визначаються на етапі робочого проектування з узгодженням відповідальних осіб з боку служби замовника.</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Усі комп'ютери системи диспетчеризації повинні включати у конфігурацію програмно-апаратні засоби формування звукової сигналізації достатнього рівня гучності (не менше 85 </w:t>
      </w:r>
      <w:r>
        <w:rPr>
          <w:rFonts w:ascii="Times New Roman" w:hAnsi="Times New Roman" w:cs="Times New Roman"/>
          <w:sz w:val="24"/>
          <w:szCs w:val="24"/>
        </w:rPr>
        <w:t xml:space="preserve">дБ</w:t>
      </w:r>
      <w:r>
        <w:rPr>
          <w:rFonts w:ascii="Times New Roman" w:hAnsi="Times New Roman" w:cs="Times New Roman"/>
          <w:sz w:val="24"/>
          <w:szCs w:val="24"/>
        </w:rPr>
        <w:t xml:space="preserve">). Конкретна конфігурація комп'ютерів визначається на етапі робочого проектування залежно від розмірів СДІО та вимог щодо програмного забезпечення.</w:t>
      </w:r>
      <w:r/>
    </w:p>
    <w:p>
      <w:pPr>
        <w:ind w:firstLine="720"/>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До контролерів пред'являються такі вимоги:</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модульна архітектура;</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автономне функціонування незалежно стану комп'ютерів СДІО;</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безперервна самодіагностика;</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індикація </w:t>
      </w:r>
      <w:r>
        <w:rPr>
          <w:rFonts w:ascii="Times New Roman" w:hAnsi="Times New Roman" w:cs="Times New Roman"/>
          <w:sz w:val="24"/>
          <w:szCs w:val="24"/>
        </w:rPr>
        <w:t xml:space="preserve">несправностей</w:t>
      </w:r>
      <w:r>
        <w:rPr>
          <w:rFonts w:ascii="Times New Roman" w:hAnsi="Times New Roman" w:cs="Times New Roman"/>
          <w:sz w:val="24"/>
          <w:szCs w:val="24"/>
        </w:rPr>
        <w:t xml:space="preserve">;</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енергонезалежне ЗУ зберігання програм та параметрів з часом зберігання не менше 72 годин. Зв'язок між контролерами повинен здійснюватися за стандартними відкритими інтерфейсами </w:t>
      </w:r>
      <w:r>
        <w:rPr>
          <w:rFonts w:ascii="Times New Roman" w:hAnsi="Times New Roman" w:cs="Times New Roman"/>
          <w:sz w:val="24"/>
          <w:szCs w:val="24"/>
        </w:rPr>
        <w:t xml:space="preserve">LonWork</w:t>
      </w:r>
      <w:r>
        <w:rPr>
          <w:rFonts w:ascii="Times New Roman" w:hAnsi="Times New Roman" w:cs="Times New Roman"/>
          <w:sz w:val="24"/>
          <w:szCs w:val="24"/>
        </w:rPr>
        <w:t xml:space="preserve">, </w:t>
      </w:r>
      <w:r>
        <w:rPr>
          <w:rFonts w:ascii="Times New Roman" w:hAnsi="Times New Roman" w:cs="Times New Roman"/>
          <w:sz w:val="24"/>
          <w:szCs w:val="24"/>
        </w:rPr>
        <w:t xml:space="preserve">BACNet</w:t>
      </w:r>
      <w:r>
        <w:rPr>
          <w:rFonts w:ascii="Times New Roman" w:hAnsi="Times New Roman" w:cs="Times New Roman"/>
          <w:sz w:val="24"/>
          <w:szCs w:val="24"/>
        </w:rPr>
        <w:t xml:space="preserve">, </w:t>
      </w:r>
      <w:r>
        <w:rPr>
          <w:rFonts w:ascii="Times New Roman" w:hAnsi="Times New Roman" w:cs="Times New Roman"/>
          <w:sz w:val="24"/>
          <w:szCs w:val="24"/>
        </w:rPr>
        <w:t xml:space="preserve">Modbus</w:t>
      </w:r>
      <w:r>
        <w:rPr>
          <w:rFonts w:ascii="Times New Roman" w:hAnsi="Times New Roman" w:cs="Times New Roman"/>
          <w:sz w:val="24"/>
          <w:szCs w:val="24"/>
        </w:rPr>
        <w:t xml:space="preserve">, EIB/</w:t>
      </w:r>
      <w:r>
        <w:rPr>
          <w:rFonts w:ascii="Times New Roman" w:hAnsi="Times New Roman" w:cs="Times New Roman"/>
          <w:sz w:val="24"/>
          <w:szCs w:val="24"/>
        </w:rPr>
        <w:t xml:space="preserve">Konnex</w:t>
      </w:r>
      <w:r>
        <w:rPr>
          <w:rFonts w:ascii="Times New Roman" w:hAnsi="Times New Roman" w:cs="Times New Roman"/>
          <w:sz w:val="24"/>
          <w:szCs w:val="24"/>
        </w:rPr>
        <w:t xml:space="preserve"> або ін.</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проектуванні необхідно забезпечити 10% резерв для каналів введення-виведення в кожному контролері для забезпечення подальшого розвитку системи.</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Програмування контролерів повинно здійснюватися за допомогою програмного забезпечення, що функціонує серед Microsoft Windows.</w:t>
      </w:r>
      <w:r/>
    </w:p>
    <w:p>
      <w:pPr>
        <w:ind w:firstLine="72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2.4. Вимоги до організації зв'язку з об'єктом диспетчеризації та управління</w:t>
      </w:r>
      <w:r/>
    </w:p>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2.4.1. Вимоги до підсистеми водопроводу та каналізації</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контроль стану насосних установок Господарсько-питного водопостачання основної будівлі та укриття (робота/аварія, при необхідності використати додаткові датчики тиску з метою контролю тиску води на подачі від міста та після насосних установок)</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контроль стану приводів обвідних заслінок (положення відкрито/закрито)</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контроль рівню рідини дренажних приямків (мінімальний рівень/критичний рівень)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контроль стану двокамерного каналізаційного затвору з електроприводом (контроль положення/аварія)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контроль вузла вводу з лічильником (контроль тиску за допомогою датчика тиску </w:t>
      </w:r>
      <w:r>
        <w:rPr>
          <w:rFonts w:ascii="Times New Roman" w:hAnsi="Times New Roman" w:cs="Times New Roman"/>
          <w:sz w:val="24"/>
          <w:szCs w:val="24"/>
        </w:rPr>
        <w:t xml:space="preserve">Honeywell</w:t>
      </w:r>
      <w:r>
        <w:rPr>
          <w:rFonts w:ascii="Times New Roman" w:hAnsi="Times New Roman" w:cs="Times New Roman"/>
          <w:sz w:val="24"/>
          <w:szCs w:val="24"/>
        </w:rPr>
        <w:t xml:space="preserve"> та контроль показників лічильника через протокол передачі даних M-</w:t>
      </w:r>
      <w:r>
        <w:rPr>
          <w:rFonts w:ascii="Times New Roman" w:hAnsi="Times New Roman" w:cs="Times New Roman"/>
          <w:sz w:val="24"/>
          <w:szCs w:val="24"/>
        </w:rPr>
        <w:t xml:space="preserve">Bus</w:t>
      </w:r>
      <w:r>
        <w:rPr>
          <w:rFonts w:ascii="Times New Roman" w:hAnsi="Times New Roman" w:cs="Times New Roman"/>
          <w:sz w:val="24"/>
          <w:szCs w:val="24"/>
        </w:rPr>
        <w:t xml:space="preserve">, модель: </w:t>
      </w:r>
      <w:r>
        <w:rPr>
          <w:rFonts w:ascii="Times New Roman" w:hAnsi="Times New Roman" w:cs="Times New Roman"/>
          <w:sz w:val="24"/>
          <w:szCs w:val="24"/>
        </w:rPr>
        <w:t xml:space="preserve">Apator</w:t>
      </w:r>
      <w:r>
        <w:rPr>
          <w:rFonts w:ascii="Times New Roman" w:hAnsi="Times New Roman" w:cs="Times New Roman"/>
          <w:sz w:val="24"/>
          <w:szCs w:val="24"/>
        </w:rPr>
        <w:t xml:space="preserve"> </w:t>
      </w:r>
      <w:r>
        <w:rPr>
          <w:rFonts w:ascii="Times New Roman" w:hAnsi="Times New Roman" w:cs="Times New Roman"/>
          <w:sz w:val="24"/>
          <w:szCs w:val="24"/>
        </w:rPr>
        <w:t xml:space="preserve">Smart</w:t>
      </w:r>
      <w:r>
        <w:rPr>
          <w:rFonts w:ascii="Times New Roman" w:hAnsi="Times New Roman" w:cs="Times New Roman"/>
          <w:sz w:val="24"/>
          <w:szCs w:val="24"/>
        </w:rPr>
        <w:t xml:space="preserve"> C+ JS4)</w:t>
      </w:r>
      <w:r/>
    </w:p>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2.4.2. Вимоги до підсистеми опалення, вентиляції та кондиціонування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диспетчеризація припливно витяжних установок (ПВ) при передачі даних через протокольне підключення (</w:t>
      </w:r>
      <w:r>
        <w:rPr>
          <w:rFonts w:ascii="Times New Roman" w:hAnsi="Times New Roman" w:cs="Times New Roman"/>
          <w:sz w:val="24"/>
          <w:szCs w:val="24"/>
        </w:rPr>
        <w:t xml:space="preserve">ModBus</w:t>
      </w:r>
      <w:r>
        <w:rPr>
          <w:rFonts w:ascii="Times New Roman" w:hAnsi="Times New Roman" w:cs="Times New Roman"/>
          <w:sz w:val="24"/>
          <w:szCs w:val="24"/>
        </w:rPr>
        <w:t xml:space="preserve">, </w:t>
      </w:r>
      <w:r>
        <w:rPr>
          <w:rFonts w:ascii="Times New Roman" w:hAnsi="Times New Roman" w:cs="Times New Roman"/>
          <w:sz w:val="24"/>
          <w:szCs w:val="24"/>
        </w:rPr>
        <w:t xml:space="preserve">BACnet</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автоматизація </w:t>
      </w:r>
      <w:r>
        <w:rPr>
          <w:rFonts w:ascii="Times New Roman" w:hAnsi="Times New Roman" w:cs="Times New Roman"/>
          <w:sz w:val="24"/>
          <w:szCs w:val="24"/>
        </w:rPr>
        <w:t xml:space="preserve">вентиляційгної</w:t>
      </w:r>
      <w:r>
        <w:rPr>
          <w:rFonts w:ascii="Times New Roman" w:hAnsi="Times New Roman" w:cs="Times New Roman"/>
          <w:sz w:val="24"/>
          <w:szCs w:val="24"/>
        </w:rPr>
        <w:t xml:space="preserve"> системи «Генераторної» (П2 та В2) (управління та контроль роботи)</w:t>
      </w:r>
      <w:r/>
    </w:p>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2.4.3. Вимоги до підсистеми електропостачання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моніторинг роботи системи АВР об’єкту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контроль живлення електричних вводів будівлі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моніторинг стану і роботи ДГ</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автоматизація освітлення загальних зон об’єкту (холи, коридори)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2.4.4. Вимоги до підсистеми вертикального транспортування</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контроль стану ліфтів будівлі (сигнали «Робота/Норма» та/або «Аварія»)</w:t>
      </w:r>
      <w:r/>
    </w:p>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2.4.5. Вимоги до підсистеми пожежної сигналізації</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контроль наявності сигналу «Пожежа»</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візуалізацію стану та алгоритмічне відпрацювання інженерних систем, робота яких пов’язана з контролем протипожежної сигналізації</w:t>
      </w:r>
      <w:r/>
    </w:p>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2.4.6 Загальні вимоги до реалізації диспетчеризації підсистем</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забезпечити візуалізацію стану та роботи обладнання на моніторі робочої станції диспетчерського пульта з </w:t>
      </w:r>
      <w:r>
        <w:rPr>
          <w:rFonts w:ascii="Times New Roman" w:hAnsi="Times New Roman" w:cs="Times New Roman"/>
          <w:sz w:val="24"/>
          <w:szCs w:val="24"/>
        </w:rPr>
        <w:t xml:space="preserve">видачею</w:t>
      </w:r>
      <w:r>
        <w:rPr>
          <w:rFonts w:ascii="Times New Roman" w:hAnsi="Times New Roman" w:cs="Times New Roman"/>
          <w:sz w:val="24"/>
          <w:szCs w:val="24"/>
        </w:rPr>
        <w:t xml:space="preserve"> аварійної сигналізації</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 ТЕХНІЧНІ ВИМОГИ ДО ПРОГРАМНОГО ЗАБЕЗПЕЧЕННЯ</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верхнього рівня СДІО має забезпечувати:</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роботу з мнемосхемами інженерних установок та систем (індикація станів, автоматичне та ручне управління);</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складання розкладів (день-тиждень-свята-місяць-рік...) різних дій (</w:t>
      </w:r>
      <w:r>
        <w:rPr>
          <w:rFonts w:ascii="Times New Roman" w:hAnsi="Times New Roman" w:cs="Times New Roman"/>
          <w:sz w:val="24"/>
          <w:szCs w:val="24"/>
        </w:rPr>
        <w:t xml:space="preserve">вкл</w:t>
      </w:r>
      <w:r>
        <w:rPr>
          <w:rFonts w:ascii="Times New Roman" w:hAnsi="Times New Roman" w:cs="Times New Roman"/>
          <w:sz w:val="24"/>
          <w:szCs w:val="24"/>
        </w:rPr>
        <w:t xml:space="preserve">./</w:t>
      </w:r>
      <w:r>
        <w:rPr>
          <w:rFonts w:ascii="Times New Roman" w:hAnsi="Times New Roman" w:cs="Times New Roman"/>
          <w:sz w:val="24"/>
          <w:szCs w:val="24"/>
        </w:rPr>
        <w:t xml:space="preserve">викл</w:t>
      </w:r>
      <w:r>
        <w:rPr>
          <w:rFonts w:ascii="Times New Roman" w:hAnsi="Times New Roman" w:cs="Times New Roman"/>
          <w:sz w:val="24"/>
          <w:szCs w:val="24"/>
        </w:rPr>
        <w:t xml:space="preserve">. обладнання; зміна уставок);</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обробку аварійних ситуацій (реєстрація, поширення та відпрацювання);</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ведення журналів всіх подій (поведінка обладнання та дії операторів) подій із забезпеченням пошуку та фільтрації результату, а також можливістю експорту даних у зовнішні файли у стандартних форматах;</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багаторівневу систему захисту від несанкціонованого доступу до СДІО.</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 ВИКОРИСТОВУВАНЕ ОБЛАДНАННЯ</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якості </w:t>
      </w:r>
      <w:r>
        <w:rPr>
          <w:rFonts w:ascii="Times New Roman" w:hAnsi="Times New Roman" w:cs="Times New Roman"/>
          <w:sz w:val="24"/>
          <w:szCs w:val="24"/>
        </w:rPr>
        <w:t xml:space="preserve">контролерного</w:t>
      </w:r>
      <w:r>
        <w:rPr>
          <w:rFonts w:ascii="Times New Roman" w:hAnsi="Times New Roman" w:cs="Times New Roman"/>
          <w:sz w:val="24"/>
          <w:szCs w:val="24"/>
        </w:rPr>
        <w:t xml:space="preserve"> і периферійного обладнання використати обладнання німецького виробника </w:t>
      </w:r>
      <w:r>
        <w:rPr>
          <w:rFonts w:ascii="Times New Roman" w:hAnsi="Times New Roman" w:cs="Times New Roman"/>
          <w:sz w:val="24"/>
          <w:szCs w:val="24"/>
        </w:rPr>
        <w:t xml:space="preserve">Centraline</w:t>
      </w:r>
      <w:r>
        <w:rPr>
          <w:rFonts w:ascii="Times New Roman" w:hAnsi="Times New Roman" w:cs="Times New Roman"/>
          <w:sz w:val="24"/>
          <w:szCs w:val="24"/>
        </w:rPr>
        <w:t xml:space="preserve"> </w:t>
      </w:r>
      <w:r>
        <w:rPr>
          <w:rFonts w:ascii="Times New Roman" w:hAnsi="Times New Roman" w:cs="Times New Roman"/>
          <w:sz w:val="24"/>
          <w:szCs w:val="24"/>
        </w:rPr>
        <w:t xml:space="preserve">by</w:t>
      </w:r>
      <w:r>
        <w:rPr>
          <w:rFonts w:ascii="Times New Roman" w:hAnsi="Times New Roman" w:cs="Times New Roman"/>
          <w:sz w:val="24"/>
          <w:szCs w:val="24"/>
        </w:rPr>
        <w:t xml:space="preserve"> </w:t>
      </w:r>
      <w:r>
        <w:rPr>
          <w:rFonts w:ascii="Times New Roman" w:hAnsi="Times New Roman" w:cs="Times New Roman"/>
          <w:sz w:val="24"/>
          <w:szCs w:val="24"/>
        </w:rPr>
        <w:t xml:space="preserve">Honeywell</w:t>
      </w:r>
      <w:r>
        <w:rPr>
          <w:rFonts w:ascii="Times New Roman" w:hAnsi="Times New Roman" w:cs="Times New Roman"/>
          <w:sz w:val="24"/>
          <w:szCs w:val="24"/>
        </w:rPr>
        <w:t xml:space="preserve">, програмне забезпечення </w:t>
      </w:r>
      <w:r>
        <w:rPr>
          <w:rFonts w:ascii="Times New Roman" w:hAnsi="Times New Roman" w:cs="Times New Roman"/>
          <w:sz w:val="24"/>
          <w:szCs w:val="24"/>
        </w:rPr>
        <w:t xml:space="preserve">Honeywell</w:t>
      </w:r>
      <w:r>
        <w:rPr>
          <w:rFonts w:ascii="Times New Roman" w:hAnsi="Times New Roman" w:cs="Times New Roman"/>
          <w:sz w:val="24"/>
          <w:szCs w:val="24"/>
        </w:rPr>
        <w:t xml:space="preserve"> </w:t>
      </w:r>
      <w:r>
        <w:rPr>
          <w:rFonts w:ascii="Times New Roman" w:hAnsi="Times New Roman" w:cs="Times New Roman"/>
          <w:sz w:val="24"/>
          <w:szCs w:val="24"/>
        </w:rPr>
        <w:t xml:space="preserve">Arena</w:t>
      </w:r>
      <w:r>
        <w:rPr>
          <w:rFonts w:ascii="Times New Roman" w:hAnsi="Times New Roman" w:cs="Times New Roman"/>
          <w:sz w:val="24"/>
          <w:szCs w:val="24"/>
        </w:rPr>
        <w:t xml:space="preserve"> NX. </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збирання шафи використати обладнання </w:t>
      </w:r>
      <w:r>
        <w:rPr>
          <w:rFonts w:ascii="Times New Roman" w:hAnsi="Times New Roman" w:cs="Times New Roman"/>
          <w:sz w:val="24"/>
          <w:szCs w:val="24"/>
        </w:rPr>
        <w:t xml:space="preserve">Centraline</w:t>
      </w:r>
      <w:r>
        <w:rPr>
          <w:rFonts w:ascii="Times New Roman" w:hAnsi="Times New Roman" w:cs="Times New Roman"/>
          <w:sz w:val="24"/>
          <w:szCs w:val="24"/>
        </w:rPr>
        <w:t xml:space="preserve"> </w:t>
      </w:r>
      <w:r>
        <w:rPr>
          <w:rFonts w:ascii="Times New Roman" w:hAnsi="Times New Roman" w:cs="Times New Roman"/>
          <w:sz w:val="24"/>
          <w:szCs w:val="24"/>
        </w:rPr>
        <w:t xml:space="preserve">by</w:t>
      </w:r>
      <w:r>
        <w:rPr>
          <w:rFonts w:ascii="Times New Roman" w:hAnsi="Times New Roman" w:cs="Times New Roman"/>
          <w:sz w:val="24"/>
          <w:szCs w:val="24"/>
        </w:rPr>
        <w:t xml:space="preserve"> </w:t>
      </w:r>
      <w:r>
        <w:rPr>
          <w:rFonts w:ascii="Times New Roman" w:hAnsi="Times New Roman" w:cs="Times New Roman"/>
          <w:sz w:val="24"/>
          <w:szCs w:val="24"/>
        </w:rPr>
        <w:t xml:space="preserve">Honeywell</w:t>
      </w:r>
      <w:r>
        <w:rPr>
          <w:rFonts w:ascii="Times New Roman" w:hAnsi="Times New Roman" w:cs="Times New Roman"/>
          <w:sz w:val="24"/>
          <w:szCs w:val="24"/>
        </w:rPr>
        <w:t xml:space="preserve">, </w:t>
      </w:r>
      <w:r>
        <w:rPr>
          <w:rFonts w:ascii="Times New Roman" w:hAnsi="Times New Roman" w:cs="Times New Roman"/>
          <w:sz w:val="24"/>
          <w:szCs w:val="24"/>
        </w:rPr>
        <w:t xml:space="preserve">Eaton</w:t>
      </w:r>
      <w:r>
        <w:rPr>
          <w:rFonts w:ascii="Times New Roman" w:hAnsi="Times New Roman" w:cs="Times New Roman"/>
          <w:sz w:val="24"/>
          <w:szCs w:val="24"/>
        </w:rPr>
        <w:t xml:space="preserve">, </w:t>
      </w:r>
      <w:r>
        <w:rPr>
          <w:rFonts w:ascii="Times New Roman" w:hAnsi="Times New Roman" w:cs="Times New Roman"/>
          <w:sz w:val="24"/>
          <w:szCs w:val="24"/>
        </w:rPr>
        <w:t xml:space="preserve">Relpol</w:t>
      </w:r>
      <w:r>
        <w:rPr>
          <w:rFonts w:ascii="Times New Roman" w:hAnsi="Times New Roman" w:cs="Times New Roman"/>
          <w:sz w:val="24"/>
          <w:szCs w:val="24"/>
        </w:rPr>
        <w:t xml:space="preserve">, APC.</w:t>
      </w:r>
      <w:r/>
    </w:p>
    <w:p>
      <w:pPr>
        <w:pStyle w:val="738"/>
        <w:jc w:val="both"/>
        <w:spacing w:after="0" w:line="240" w:lineRule="auto"/>
        <w:rPr>
          <w:b/>
          <w:bCs/>
          <w:i/>
          <w:iCs/>
          <w:lang w:eastAsia="ru-RU"/>
        </w:rPr>
      </w:pPr>
      <w:r>
        <w:rPr>
          <w:b/>
          <w:bCs/>
          <w:i/>
          <w:iCs/>
          <w:lang w:eastAsia="ru-RU"/>
        </w:rPr>
      </w:r>
      <w:r/>
    </w:p>
    <w:p>
      <w:pPr>
        <w:pStyle w:val="738"/>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rPr>
          <w:b/>
          <w:bCs/>
          <w:i/>
          <w:iCs/>
        </w:rPr>
        <w:t xml:space="preserve">; монтаж Товару на об’єкті замовника, первинна перевірка та введення в експлуатацію Товару.</w:t>
      </w:r>
      <w:r/>
    </w:p>
    <w:p>
      <w:pPr>
        <w:pStyle w:val="738"/>
        <w:jc w:val="both"/>
        <w:spacing w:after="0" w:line="240" w:lineRule="auto"/>
        <w:rPr>
          <w:b/>
          <w:bCs/>
          <w:i/>
          <w:iCs/>
        </w:rPr>
      </w:pPr>
      <w:r>
        <w:rPr>
          <w:b/>
          <w:bCs/>
          <w:i/>
          <w:iCs/>
        </w:rPr>
      </w:r>
      <w:r/>
    </w:p>
    <w:p>
      <w:pPr>
        <w:pStyle w:val="738"/>
        <w:ind w:firstLine="567"/>
        <w:jc w:val="both"/>
        <w:spacing w:after="0" w:line="240" w:lineRule="auto"/>
        <w:rPr>
          <w:color w:val="000000" w:themeColor="text1"/>
          <w:shd w:val="clear" w:color="auto" w:fill="ffffff"/>
        </w:rPr>
      </w:pPr>
      <w:r/>
      <w:bookmarkStart w:id="2" w:name="_Hlk131598067"/>
      <w:r/>
      <w:bookmarkStart w:id="3" w:name="_Hlk173499091"/>
      <w:r>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в Україні (надати </w:t>
      </w:r>
      <w:r>
        <w:rPr>
          <w:rFonts w:ascii="Times New Roman" w:hAnsi="Times New Roman" w:cs="Times New Roman"/>
          <w:sz w:val="24"/>
          <w:szCs w:val="24"/>
        </w:rPr>
        <w:t xml:space="preserve">сканкопії</w:t>
      </w:r>
      <w:r>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Start w:id="4" w:name="_Hlk131682113"/>
      <w:r/>
      <w:bookmarkEnd w:id="2"/>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4"/>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За необхі</w:t>
      </w:r>
      <w:r>
        <w:rPr>
          <w:rFonts w:ascii="Times New Roman" w:hAnsi="Times New Roman" w:cs="Times New Roman"/>
          <w:sz w:val="24"/>
          <w:szCs w:val="24"/>
        </w:rPr>
        <w:t xml:space="preserve">дності Учасник може за домовленістю із Замовником відвідати та оглянути об’єкт Замовника де необхідно встановити предмет закупівлі та провести відповідні розрахунки для точного прорахунку тендерної пропозиції та всіх матеріалів, обладнання та устаткування,</w:t>
      </w:r>
      <w:r>
        <w:rPr>
          <w:rFonts w:ascii="Times New Roman" w:hAnsi="Times New Roman" w:cs="Times New Roman"/>
          <w:sz w:val="24"/>
          <w:szCs w:val="24"/>
        </w:rPr>
        <w:t xml:space="preserve"> що буде необхідне потенційному переможцю процедури закупівлі для виконання умов договору. Об’єкт де планується встановлення Товару знаходиться у м. Дніпро. Вся необхідна інформація буде надана потенційним Учасникам за зверненням та при обстеженню об’єкта.</w:t>
      </w:r>
      <w:bookmarkEnd w:id="3"/>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4"/>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Style w:val="736"/>
        <w:tblW w:w="9634" w:type="dxa"/>
        <w:tblLook w:val="04A0" w:firstRow="1" w:lastRow="0" w:firstColumn="1" w:lastColumn="0" w:noHBand="0" w:noVBand="1"/>
      </w:tblPr>
      <w:tblGrid>
        <w:gridCol w:w="566"/>
        <w:gridCol w:w="5666"/>
        <w:gridCol w:w="1701"/>
        <w:gridCol w:w="1701"/>
      </w:tblGrid>
      <w:tr>
        <w:trPr/>
        <w:tc>
          <w:tcPr>
            <w:tcW w:w="566" w:type="dxa"/>
            <w:textDirection w:val="lrTb"/>
            <w:noWrap w:val="false"/>
          </w:tcPr>
          <w:p>
            <w:pPr>
              <w:pStyle w:val="738"/>
              <w:jc w:val="center"/>
              <w:rPr>
                <w:b/>
                <w:bCs/>
              </w:rPr>
            </w:pPr>
            <w:r>
              <w:rPr>
                <w:b/>
                <w:bCs/>
              </w:rPr>
              <w:t xml:space="preserve">№ п/п</w:t>
            </w:r>
            <w:r/>
          </w:p>
        </w:tc>
        <w:tc>
          <w:tcPr>
            <w:tcW w:w="5666" w:type="dxa"/>
            <w:textDirection w:val="lrTb"/>
            <w:noWrap w:val="false"/>
          </w:tcPr>
          <w:p>
            <w:pPr>
              <w:pStyle w:val="738"/>
              <w:jc w:val="center"/>
              <w:rPr>
                <w:b/>
                <w:bCs/>
              </w:rPr>
            </w:pPr>
            <w:r>
              <w:rPr>
                <w:b/>
                <w:bCs/>
              </w:rPr>
              <w:t xml:space="preserve">Назва системи</w:t>
            </w:r>
            <w:r/>
          </w:p>
        </w:tc>
        <w:tc>
          <w:tcPr>
            <w:tcW w:w="1701" w:type="dxa"/>
            <w:textDirection w:val="lrTb"/>
            <w:noWrap w:val="false"/>
          </w:tcPr>
          <w:p>
            <w:pPr>
              <w:pStyle w:val="738"/>
              <w:jc w:val="center"/>
              <w:rPr>
                <w:b/>
                <w:bCs/>
              </w:rPr>
            </w:pPr>
            <w:r>
              <w:rPr>
                <w:b/>
                <w:bCs/>
              </w:rPr>
              <w:t xml:space="preserve">Одиниця виміру</w:t>
            </w:r>
            <w:r/>
          </w:p>
        </w:tc>
        <w:tc>
          <w:tcPr>
            <w:tcW w:w="1701" w:type="dxa"/>
            <w:textDirection w:val="lrTb"/>
            <w:noWrap w:val="false"/>
          </w:tcPr>
          <w:p>
            <w:pPr>
              <w:pStyle w:val="738"/>
              <w:jc w:val="center"/>
              <w:rPr>
                <w:b/>
                <w:bCs/>
              </w:rPr>
            </w:pPr>
            <w:r>
              <w:rPr>
                <w:b/>
                <w:bCs/>
              </w:rPr>
              <w:t xml:space="preserve">Кількість</w:t>
            </w:r>
            <w:r/>
          </w:p>
        </w:tc>
      </w:tr>
      <w:tr>
        <w:trPr/>
        <w:tc>
          <w:tcPr>
            <w:tcW w:w="566" w:type="dxa"/>
            <w:vAlign w:val="center"/>
            <w:textDirection w:val="lrTb"/>
            <w:noWrap w:val="false"/>
          </w:tcPr>
          <w:p>
            <w:pPr>
              <w:pStyle w:val="738"/>
              <w:jc w:val="center"/>
              <w:rPr>
                <w:b/>
                <w:bCs/>
              </w:rPr>
            </w:pPr>
            <w:r>
              <w:rPr>
                <w:b/>
                <w:bCs/>
              </w:rPr>
              <w:t xml:space="preserve">1</w:t>
            </w:r>
            <w:r/>
          </w:p>
        </w:tc>
        <w:tc>
          <w:tcPr>
            <w:tcW w:w="5666" w:type="dxa"/>
            <w:vAlign w:val="center"/>
            <w:textDirection w:val="lrTb"/>
            <w:noWrap w:val="false"/>
          </w:tcPr>
          <w:p>
            <w:pPr>
              <w:pStyle w:val="738"/>
              <w:rPr>
                <w:b/>
                <w:bCs/>
              </w:rPr>
            </w:pPr>
            <w:r>
              <w:rPr>
                <w:b/>
                <w:bCs/>
              </w:rPr>
              <w:t xml:space="preserve">Комплект обладнання та устаткування системи  автоматизації та диспетчеризації інженерного обладнання,</w:t>
            </w:r>
            <w:r>
              <w:rPr>
                <w:b/>
                <w:bCs/>
                <w:i/>
                <w:iCs/>
              </w:rPr>
              <w:t xml:space="preserve"> </w:t>
            </w:r>
            <w:r>
              <w:rPr>
                <w:i/>
                <w:iCs/>
              </w:rPr>
              <w:t xml:space="preserve">у складі:</w:t>
            </w:r>
            <w:r/>
          </w:p>
        </w:tc>
        <w:tc>
          <w:tcPr>
            <w:tcW w:w="1701" w:type="dxa"/>
            <w:vAlign w:val="center"/>
            <w:textDirection w:val="lrTb"/>
            <w:noWrap w:val="false"/>
          </w:tcPr>
          <w:p>
            <w:pPr>
              <w:pStyle w:val="738"/>
              <w:jc w:val="center"/>
              <w:rPr>
                <w:b/>
                <w:bCs/>
              </w:rPr>
            </w:pPr>
            <w:r>
              <w:rPr>
                <w:b/>
                <w:bCs/>
              </w:rPr>
              <w:t xml:space="preserve">компл</w:t>
            </w:r>
            <w:r>
              <w:rPr>
                <w:b/>
                <w:bCs/>
              </w:rPr>
              <w:t xml:space="preserve">.</w:t>
            </w:r>
            <w:r/>
          </w:p>
        </w:tc>
        <w:tc>
          <w:tcPr>
            <w:tcW w:w="1701" w:type="dxa"/>
            <w:vAlign w:val="center"/>
            <w:textDirection w:val="lrTb"/>
            <w:noWrap w:val="false"/>
          </w:tcPr>
          <w:p>
            <w:pPr>
              <w:pStyle w:val="738"/>
              <w:jc w:val="center"/>
              <w:rPr>
                <w:b/>
                <w:bCs/>
              </w:rPr>
            </w:pPr>
            <w:r>
              <w:rPr>
                <w:b/>
                <w:bCs/>
              </w:rPr>
              <w:t xml:space="preserve">1</w:t>
            </w:r>
            <w:r/>
          </w:p>
        </w:tc>
      </w:tr>
      <w:tr>
        <w:trPr/>
        <w:tc>
          <w:tcPr>
            <w:tcW w:w="566" w:type="dxa"/>
            <w:vAlign w:val="center"/>
            <w:textDirection w:val="lrTb"/>
            <w:noWrap w:val="false"/>
          </w:tcPr>
          <w:p>
            <w:pPr>
              <w:pStyle w:val="738"/>
              <w:jc w:val="center"/>
            </w:pPr>
            <w:r>
              <w:t xml:space="preserve">1.1</w:t>
            </w:r>
            <w:r/>
          </w:p>
        </w:tc>
        <w:tc>
          <w:tcPr>
            <w:tcW w:w="5666" w:type="dxa"/>
            <w:vAlign w:val="center"/>
            <w:textDirection w:val="lrTb"/>
            <w:noWrap w:val="false"/>
          </w:tcPr>
          <w:p>
            <w:pPr>
              <w:pStyle w:val="753"/>
              <w:ind w:left="164"/>
              <w:rPr>
                <w:rFonts w:ascii="Times New Roman" w:hAnsi="Times New Roman" w:cs="Times New Roman"/>
                <w:sz w:val="24"/>
                <w:szCs w:val="24"/>
              </w:rPr>
            </w:pPr>
            <w:r>
              <w:rPr>
                <w:rFonts w:ascii="Times New Roman" w:hAnsi="Times New Roman" w:cs="Times New Roman"/>
                <w:sz w:val="24"/>
                <w:szCs w:val="24"/>
              </w:rPr>
              <w:t xml:space="preserve">Шафа</w:t>
            </w:r>
            <w:r>
              <w:rPr>
                <w:rFonts w:ascii="Times New Roman" w:hAnsi="Times New Roman" w:cs="Times New Roman"/>
                <w:sz w:val="24"/>
                <w:szCs w:val="24"/>
              </w:rPr>
              <w:t xml:space="preserve"> </w:t>
            </w:r>
            <w:r>
              <w:rPr>
                <w:rFonts w:ascii="Times New Roman" w:hAnsi="Times New Roman" w:cs="Times New Roman"/>
                <w:sz w:val="24"/>
                <w:szCs w:val="24"/>
              </w:rPr>
              <w:t xml:space="preserve">диспетчеризації</w:t>
            </w:r>
            <w:r>
              <w:rPr>
                <w:rFonts w:ascii="Times New Roman" w:hAnsi="Times New Roman" w:cs="Times New Roman"/>
                <w:sz w:val="24"/>
                <w:szCs w:val="24"/>
              </w:rPr>
              <w:t xml:space="preserve"> ШАУ-1 </w:t>
            </w:r>
            <w:r/>
          </w:p>
          <w:p>
            <w:pPr>
              <w:pStyle w:val="753"/>
              <w:ind w:left="164"/>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rPr>
              <w:t xml:space="preserve">зборі</w:t>
            </w:r>
            <w:r>
              <w:rPr>
                <w:rFonts w:ascii="Times New Roman" w:hAnsi="Times New Roman" w:cs="Times New Roman"/>
                <w:sz w:val="24"/>
                <w:szCs w:val="24"/>
              </w:rPr>
              <w:t xml:space="preserve">) ШР6103 1000х600х300</w:t>
            </w:r>
            <w:r/>
          </w:p>
          <w:tbl>
            <w:tblPr>
              <w:tblW w:w="0" w:type="auto"/>
              <w:jc w:val="center"/>
              <w:tblLayout w:type="fixed"/>
              <w:tblCellMar>
                <w:left w:w="28" w:type="dxa"/>
                <w:right w:w="28" w:type="dxa"/>
              </w:tblCellMar>
              <w:tblLook w:val="04A0" w:firstRow="1" w:lastRow="0" w:firstColumn="1" w:lastColumn="0" w:noHBand="0" w:noVBand="1"/>
            </w:tblPr>
            <w:tblGrid>
              <w:gridCol w:w="3969"/>
            </w:tblGrid>
            <w:tr>
              <w:trPr>
                <w:jc w:val="center"/>
              </w:trPr>
              <w:tc>
                <w:tcPr>
                  <w:tcW w:w="3969" w:type="dxa"/>
                  <w:textDirection w:val="lrTb"/>
                  <w:noWrap w:val="false"/>
                </w:tcPr>
                <w:p>
                  <w:pPr>
                    <w:ind w:left="164"/>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jc w:val="center"/>
              </w:trPr>
              <w:tc>
                <w:tcPr>
                  <w:tcW w:w="3969" w:type="dxa"/>
                  <w:textDirection w:val="lrTb"/>
                  <w:noWrap w:val="false"/>
                </w:tcPr>
                <w:p>
                  <w:pPr>
                    <w:ind w:left="164"/>
                    <w:spacing w:after="0" w:line="240" w:lineRule="auto"/>
                    <w:rPr>
                      <w:rFonts w:ascii="Times New Roman" w:hAnsi="Times New Roman" w:cs="Times New Roman"/>
                      <w:sz w:val="24"/>
                      <w:szCs w:val="24"/>
                    </w:rPr>
                  </w:pPr>
                  <w:r>
                    <w:rPr>
                      <w:rFonts w:ascii="Times New Roman" w:hAnsi="Times New Roman" w:cs="Times New Roman"/>
                      <w:sz w:val="24"/>
                      <w:szCs w:val="24"/>
                    </w:rPr>
                  </w:r>
                  <w:r/>
                </w:p>
              </w:tc>
            </w:tr>
          </w:tbl>
          <w:p>
            <w:pPr>
              <w:pStyle w:val="738"/>
              <w:jc w:val="both"/>
            </w:pPr>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1</w:t>
            </w:r>
            <w:r/>
          </w:p>
        </w:tc>
      </w:tr>
      <w:tr>
        <w:trPr/>
        <w:tc>
          <w:tcPr>
            <w:tcW w:w="566" w:type="dxa"/>
            <w:vAlign w:val="center"/>
            <w:textDirection w:val="lrTb"/>
            <w:noWrap w:val="false"/>
          </w:tcPr>
          <w:p>
            <w:pPr>
              <w:pStyle w:val="738"/>
              <w:jc w:val="center"/>
            </w:pPr>
            <w:r>
              <w:t xml:space="preserve">1.2</w:t>
            </w:r>
            <w:r/>
          </w:p>
        </w:tc>
        <w:tc>
          <w:tcPr>
            <w:tcW w:w="5666" w:type="dxa"/>
            <w:vAlign w:val="center"/>
            <w:textDirection w:val="lrTb"/>
            <w:noWrap w:val="false"/>
          </w:tcPr>
          <w:p>
            <w:pPr>
              <w:pStyle w:val="738"/>
              <w:jc w:val="both"/>
            </w:pPr>
            <w:r>
              <w:rPr>
                <w:spacing w:val="-5"/>
              </w:rPr>
              <w:t xml:space="preserve">Датчик абсолютного тиску рідини 0...1 </w:t>
            </w:r>
            <w:r>
              <w:rPr>
                <w:spacing w:val="-5"/>
              </w:rPr>
              <w:t xml:space="preserve">Мпа</w:t>
            </w:r>
            <w:r>
              <w:rPr>
                <w:spacing w:val="-5"/>
              </w:rPr>
              <w:t xml:space="preserve">, 4...20мА, G1/2"</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1</w:t>
            </w:r>
            <w:r/>
          </w:p>
        </w:tc>
      </w:tr>
      <w:tr>
        <w:trPr/>
        <w:tc>
          <w:tcPr>
            <w:tcW w:w="566" w:type="dxa"/>
            <w:vAlign w:val="center"/>
            <w:textDirection w:val="lrTb"/>
            <w:noWrap w:val="false"/>
          </w:tcPr>
          <w:p>
            <w:pPr>
              <w:pStyle w:val="738"/>
              <w:jc w:val="center"/>
            </w:pPr>
            <w:r>
              <w:t xml:space="preserve">1.3</w:t>
            </w:r>
            <w:r/>
          </w:p>
        </w:tc>
        <w:tc>
          <w:tcPr>
            <w:tcW w:w="5666" w:type="dxa"/>
            <w:vAlign w:val="center"/>
            <w:textDirection w:val="lrTb"/>
            <w:noWrap w:val="false"/>
          </w:tcPr>
          <w:p>
            <w:pPr>
              <w:pStyle w:val="738"/>
              <w:jc w:val="both"/>
            </w:pPr>
            <w:r>
              <w:rPr>
                <w:spacing w:val="-5"/>
              </w:rPr>
              <w:t xml:space="preserve">Датчик рівня рідини PZ 829 RC</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3</w:t>
            </w:r>
            <w:r/>
          </w:p>
        </w:tc>
      </w:tr>
      <w:tr>
        <w:trPr/>
        <w:tc>
          <w:tcPr>
            <w:tcW w:w="566" w:type="dxa"/>
            <w:vAlign w:val="center"/>
            <w:textDirection w:val="lrTb"/>
            <w:noWrap w:val="false"/>
          </w:tcPr>
          <w:p>
            <w:pPr>
              <w:pStyle w:val="738"/>
              <w:jc w:val="center"/>
            </w:pPr>
            <w:r>
              <w:t xml:space="preserve">1.4</w:t>
            </w:r>
            <w:r/>
          </w:p>
        </w:tc>
        <w:tc>
          <w:tcPr>
            <w:tcW w:w="5666" w:type="dxa"/>
            <w:vAlign w:val="center"/>
            <w:textDirection w:val="lrTb"/>
            <w:noWrap w:val="false"/>
          </w:tcPr>
          <w:p>
            <w:pPr>
              <w:pStyle w:val="738"/>
              <w:jc w:val="both"/>
            </w:pPr>
            <w:r>
              <w:t xml:space="preserve">ARENA NX (SCADA-система</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1</w:t>
            </w:r>
            <w:r/>
          </w:p>
        </w:tc>
      </w:tr>
      <w:tr>
        <w:trPr/>
        <w:tc>
          <w:tcPr>
            <w:tcW w:w="566" w:type="dxa"/>
            <w:vAlign w:val="center"/>
            <w:textDirection w:val="lrTb"/>
            <w:noWrap w:val="false"/>
          </w:tcPr>
          <w:p>
            <w:pPr>
              <w:pStyle w:val="738"/>
              <w:jc w:val="center"/>
            </w:pPr>
            <w:r>
              <w:t xml:space="preserve">1.5</w:t>
            </w:r>
            <w:r/>
          </w:p>
        </w:tc>
        <w:tc>
          <w:tcPr>
            <w:tcW w:w="5666" w:type="dxa"/>
            <w:vAlign w:val="center"/>
            <w:textDirection w:val="lrTb"/>
            <w:noWrap w:val="false"/>
          </w:tcPr>
          <w:p>
            <w:pPr>
              <w:pStyle w:val="753"/>
              <w:ind w:left="164"/>
              <w:rPr>
                <w:rFonts w:ascii="Times New Roman" w:hAnsi="Times New Roman" w:cs="Times New Roman"/>
                <w:sz w:val="24"/>
                <w:szCs w:val="24"/>
              </w:rPr>
            </w:pPr>
            <w:r>
              <w:rPr>
                <w:rFonts w:ascii="Times New Roman" w:hAnsi="Times New Roman" w:cs="Times New Roman"/>
                <w:sz w:val="24"/>
                <w:szCs w:val="24"/>
              </w:rPr>
              <w:t xml:space="preserve">OPTIMIZER LICENSES (</w:t>
            </w:r>
            <w:r>
              <w:rPr>
                <w:rFonts w:ascii="Times New Roman" w:hAnsi="Times New Roman" w:cs="Times New Roman"/>
                <w:sz w:val="24"/>
                <w:szCs w:val="24"/>
              </w:rPr>
              <w:t xml:space="preserve">ліцензія</w:t>
            </w:r>
            <w:r>
              <w:rPr>
                <w:rFonts w:ascii="Times New Roman" w:hAnsi="Times New Roman" w:cs="Times New Roman"/>
                <w:sz w:val="24"/>
                <w:szCs w:val="24"/>
              </w:rPr>
              <w:t xml:space="preserve">) </w:t>
            </w:r>
            <w:r/>
          </w:p>
          <w:p>
            <w:pPr>
              <w:pStyle w:val="738"/>
              <w:jc w:val="both"/>
            </w:pPr>
            <w:r>
              <w:t xml:space="preserve">N-ADV-01250-255PCE</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1</w:t>
            </w:r>
            <w:bookmarkEnd w:id="1"/>
            <w:r/>
          </w:p>
        </w:tc>
      </w:tr>
    </w:tbl>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2 537 333</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33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два мільйони п’ятсот тридцять </w:t>
      </w:r>
      <w:r>
        <w:rPr>
          <w:rFonts w:ascii="Times New Roman" w:hAnsi="Times New Roman" w:eastAsia="Times New Roman" w:cs="Times New Roman"/>
          <w:sz w:val="24"/>
          <w:szCs w:val="24"/>
          <w:lang w:eastAsia="ru-RU"/>
        </w:rPr>
        <w:t xml:space="preserve">сім тисяч триста тридцять три</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99"/>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99"/>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table" w:styleId="773" w:customStyle="1">
    <w:name w:val="Сітка таблиці3"/>
    <w:basedOn w:val="732"/>
    <w:next w:val="73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172</cp:revision>
  <dcterms:created xsi:type="dcterms:W3CDTF">2022-11-01T12:47:00Z</dcterms:created>
  <dcterms:modified xsi:type="dcterms:W3CDTF">2024-08-10T08:40:01Z</dcterms:modified>
</cp:coreProperties>
</file>