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вогнегасників та вказівників за кодом CPV за ЄЗС ДК 021:2015: 35110000-8 Протипожежне, рятувальне та захисне обладнання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001401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Закупівля вогнегасників та вказівників за кодом CPV за ЄЗС ДК 021:2015: 35110000-8 Протипожежне, рятувальне та захисне обладнання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724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26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Вогнегасник порошковий ВП-5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b/>
                <w:bCs/>
                <w:color w:val="000000"/>
              </w:rPr>
              <w:t xml:space="preserve">50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26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Вогнегасник вуглекислотний ВВК-2 (з</w:t>
            </w:r>
            <w:r>
              <w:rPr>
                <w:b/>
                <w:bCs/>
                <w:color w:val="000000"/>
              </w:rPr>
              <w:br/>
              <w:t xml:space="preserve">гумовими підставками)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42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26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Самоклеючий </w:t>
            </w:r>
            <w:r>
              <w:rPr>
                <w:b/>
                <w:bCs/>
                <w:color w:val="000000"/>
              </w:rPr>
              <w:t xml:space="preserve">вказіник</w:t>
            </w:r>
            <w:r>
              <w:rPr>
                <w:b/>
                <w:bCs/>
                <w:color w:val="000000"/>
              </w:rPr>
              <w:t xml:space="preserve"> пожежних вогнегасників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92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26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Показчики</w:t>
            </w:r>
            <w:r>
              <w:rPr>
                <w:b/>
                <w:bCs/>
                <w:color w:val="000000"/>
              </w:rPr>
              <w:t xml:space="preserve"> пожежних гідрантів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</w:t>
            </w:r>
            <w:r/>
          </w:p>
        </w:tc>
      </w:tr>
    </w:tbl>
    <w:p>
      <w:pPr>
        <w:pStyle w:val="72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726"/>
        <w:jc w:val="both"/>
        <w:spacing w:after="0" w:line="240" w:lineRule="auto"/>
        <w:rPr>
          <w:b/>
          <w:bCs/>
          <w:i/>
          <w:iCs/>
        </w:rPr>
      </w:pPr>
      <w:r/>
      <w:bookmarkStart w:id="0" w:name="_Hlk157667223"/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b/>
          <w:bCs/>
          <w:i/>
          <w:iCs/>
        </w:rPr>
        <w:t xml:space="preserve">.</w:t>
      </w:r>
      <w:r/>
    </w:p>
    <w:p>
      <w:pPr>
        <w:pStyle w:val="72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726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1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 укладається між Сторонами і є підставою для усунення Постачальником недоліків Товару у термін, що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722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На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 (Товар),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пропонує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, у </w:t>
      </w:r>
      <w:r>
        <w:rPr>
          <w:rFonts w:ascii="Times New Roman" w:hAnsi="Times New Roman" w:cs="Times New Roman"/>
          <w:sz w:val="24"/>
          <w:szCs w:val="24"/>
        </w:rPr>
        <w:t xml:space="preserve">складі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своєї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тендерної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,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копію</w:t>
      </w:r>
      <w:r>
        <w:rPr>
          <w:rFonts w:ascii="Times New Roman" w:hAnsi="Times New Roman" w:cs="Times New Roman"/>
          <w:sz w:val="24"/>
          <w:szCs w:val="24"/>
        </w:rPr>
        <w:t xml:space="preserve"> документу,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підтверджує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відповідність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виготовленої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продукції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діючим</w:t>
      </w:r>
      <w:r>
        <w:rPr>
          <w:rFonts w:ascii="Times New Roman" w:hAnsi="Times New Roman" w:cs="Times New Roman"/>
          <w:sz w:val="24"/>
          <w:szCs w:val="24"/>
        </w:rPr>
        <w:t xml:space="preserve"> стандартам </w:t>
      </w:r>
      <w:r>
        <w:rPr>
          <w:rFonts w:ascii="Times New Roman" w:hAnsi="Times New Roman" w:cs="Times New Roman"/>
          <w:sz w:val="24"/>
          <w:szCs w:val="24"/>
        </w:rPr>
        <w:t xml:space="preserve">якості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нормативним</w:t>
      </w:r>
      <w:r>
        <w:rPr>
          <w:rFonts w:ascii="Times New Roman" w:hAnsi="Times New Roman" w:cs="Times New Roman"/>
          <w:sz w:val="24"/>
          <w:szCs w:val="24"/>
        </w:rPr>
        <w:t xml:space="preserve"> документам </w:t>
      </w:r>
      <w:r>
        <w:rPr>
          <w:rFonts w:ascii="Times New Roman" w:hAnsi="Times New Roman" w:cs="Times New Roman"/>
          <w:sz w:val="24"/>
          <w:szCs w:val="24"/>
        </w:rPr>
        <w:t xml:space="preserve">України</w:t>
      </w:r>
      <w:r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сертифікованим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(у разі необхідності сертифікації Товару).</w:t>
      </w:r>
      <w:r/>
    </w:p>
    <w:p>
      <w:pPr>
        <w:pStyle w:val="722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7. Учасник у складі тендерної пропозиції повинен надати гарантійний лист, що товар (фірми виробники товару) не занесені Національним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агенством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питань запобігання корупції до списку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проєкту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«Міжнародні спонсори війни».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2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72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724"/>
        <w:tblW w:w="9993" w:type="dxa"/>
        <w:tblLook w:val="04A0" w:firstRow="1" w:lastRow="0" w:firstColumn="1" w:lastColumn="0" w:noHBand="0" w:noVBand="1"/>
      </w:tblPr>
      <w:tblGrid>
        <w:gridCol w:w="455"/>
        <w:gridCol w:w="6911"/>
        <w:gridCol w:w="1208"/>
        <w:gridCol w:w="1404"/>
        <w:gridCol w:w="15"/>
      </w:tblGrid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bookmarkStart w:id="3" w:name="_Hlk134167923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1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11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Вогнегасник порошковий ВП-5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/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93" w:type="dxa"/>
            <w:vAlign w:val="center"/>
            <w:textDirection w:val="lrTb"/>
            <w:noWrap w:val="false"/>
          </w:tcPr>
          <w:tbl>
            <w:tblPr>
              <w:tblW w:w="0" w:type="auto"/>
              <w:tblCellMar>
                <w:left w:w="15" w:type="dxa"/>
                <w:top w:w="15" w:type="dxa"/>
                <w:right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4513"/>
              <w:gridCol w:w="3999"/>
            </w:tblGrid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Назва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Вогнегасник порошковий ВП-5 (ОП-5)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Код товару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000013406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Вага, (кг)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7,2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Гарантійний термін (міс)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12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Длинна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викидання (м)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&gt; 3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Максимальний тиск, МПа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кгс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/см²)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1,6 МПа (16 бар)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Маса заряду, (кг)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5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Маса з зарядом, (кг)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7,2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Матеріал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Металл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Об'єм (л)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6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Площа гасіння (м²)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15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покриття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порошкове фарбування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Виробник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Пожтехника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Ширина (мм)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160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Мова документації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український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Країна виробник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Україна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Стандарт виготовлення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Згідно ДСТУ/ГОСТ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Термін експлуатації, (років)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10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Комплектація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Виріб, паспорт, гарантійний талон.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Клас пожежі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А,В,С,Е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Діапазон робочих температур, (°C)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-20 … +50°C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Тиск при випробуванні, МПа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кгс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/ см²)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2 МПа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Висота (мм)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480</w:t>
                  </w:r>
                  <w:r/>
                </w:p>
              </w:tc>
            </w:tr>
          </w:tbl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bookmarkEnd w:id="3"/>
            <w:r/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1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Вогнегасник вуглекислотний ВВК-2 (з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гумовими підставками)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</w:t>
            </w:r>
            <w:r/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93" w:type="dxa"/>
            <w:vAlign w:val="center"/>
            <w:textDirection w:val="lrTb"/>
            <w:noWrap w:val="false"/>
          </w:tcPr>
          <w:tbl>
            <w:tblPr>
              <w:tblW w:w="8331" w:type="dxa"/>
              <w:tblInd w:w="164" w:type="dxa"/>
              <w:tblCellMar>
                <w:left w:w="15" w:type="dxa"/>
                <w:top w:w="15" w:type="dxa"/>
                <w:right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5245"/>
              <w:gridCol w:w="3086"/>
            </w:tblGrid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Назва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Вогнегасник вуглекислотний ВВК-2 (ОУ-3)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Вага, (кг)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8.8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Висота (мм)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599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Гарантійний термін (міс)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12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Тиск при випробуванні, МПа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кгс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/ см²)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25 МПа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Длинна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викидання (м)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&gt; 3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Комплектація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Виріб, паспорт, гарантійний талон.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Максимальний тиск, МПа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кгс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/см²)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15,0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мПа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(150 бар)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Об'єм (л)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3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Площа гасіння (м²)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8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Робочий тиск (МПа)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5.7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Виробник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Пожтехника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Тривалість подачі вогнегасної речовини,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сек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8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покриття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порошкове фарбування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Ширина (мм)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108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Мова документації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український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Матеріал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Металл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Маса з зарядом, (кг)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8.8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Маса заряду, (кг)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2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Клас пожежі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В,С,Е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Діапазон робочих температур, (°C)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-20 … +50°C</w:t>
                  </w:r>
                  <w:r/>
                </w:p>
              </w:tc>
            </w:tr>
          </w:tbl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1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Самоклеючий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вказіник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пожежних вогнегасників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92</w:t>
            </w:r>
            <w:r/>
          </w:p>
        </w:tc>
      </w:tr>
      <w:tr>
        <w:trPr>
          <w:gridAfter w:val="1"/>
          <w:trHeight w:val="432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8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-41275</wp:posOffset>
                      </wp:positionV>
                      <wp:extent cx="2134870" cy="2326640"/>
                      <wp:effectExtent l="0" t="0" r="0" b="0"/>
                      <wp:wrapNone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34870" cy="2326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0288;o:allowoverlap:true;o:allowincell:true;mso-position-horizontal-relative:text;margin-left:307.8pt;mso-position-horizontal:absolute;mso-position-vertical-relative:text;margin-top:-3.2pt;mso-position-vertical:absolute;width:168.1pt;height:183.2pt;mso-wrap-distance-left:9.0pt;mso-wrap-distance-top:0.0pt;mso-wrap-distance-right:9.0pt;mso-wrap-distance-bottom:0.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Матеріал: наклейка водостійка</w:t>
            </w:r>
            <w:r/>
          </w:p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Розміри: 100*100 мм</w:t>
            </w:r>
            <w:r/>
          </w:p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Кріплення: самоклеюча основа</w:t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Призначення: для внутрішнього використання</w:t>
            </w:r>
            <w:r/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1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Показчики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пожежних гідрантів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</w:tr>
      <w:tr>
        <w:trPr>
          <w:gridAfter w:val="1"/>
          <w:trHeight w:val="405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3689350</wp:posOffset>
                      </wp:positionH>
                      <wp:positionV relativeFrom="paragraph">
                        <wp:posOffset>-62865</wp:posOffset>
                      </wp:positionV>
                      <wp:extent cx="2355215" cy="2355215"/>
                      <wp:effectExtent l="0" t="0" r="6985" b="6985"/>
                      <wp:wrapNone/>
                      <wp:docPr id="2" name="Рисунок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Рисунок 4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55215" cy="2355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51659264;o:allowoverlap:true;o:allowincell:true;mso-position-horizontal-relative:text;margin-left:290.5pt;mso-position-horizontal:absolute;mso-position-vertical-relative:text;margin-top:-5.0pt;mso-position-vertical:absolute;width:185.4pt;height:185.4pt;mso-wrap-distance-left:9.0pt;mso-wrap-distance-top:0.0pt;mso-wrap-distance-right:9.0pt;mso-wrap-distance-bottom:0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Розміри 300х200 мм.</w:t>
            </w:r>
            <w:r/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Товщина 3 мм.</w:t>
            </w:r>
            <w:r/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Матеріал: Пластик ПВХ</w:t>
            </w:r>
            <w:r/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Форма: Прямокутна</w:t>
            </w:r>
            <w:r/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Призначення: для зовнішнього використання</w:t>
            </w:r>
            <w:r/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Тип: Односторонній</w:t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bookmarkEnd w:id="0"/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Законом України «Про Державний 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71 055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сімдесят одна тисяча п’ятдесят п’ять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24"/>
  </w:num>
  <w:num w:numId="5">
    <w:abstractNumId w:val="6"/>
  </w:num>
  <w:num w:numId="6">
    <w:abstractNumId w:val="30"/>
  </w:num>
  <w:num w:numId="7">
    <w:abstractNumId w:val="10"/>
  </w:num>
  <w:num w:numId="8">
    <w:abstractNumId w:val="32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1"/>
  </w:num>
  <w:num w:numId="17">
    <w:abstractNumId w:val="0"/>
  </w:num>
  <w:num w:numId="18">
    <w:abstractNumId w:val="34"/>
  </w:num>
  <w:num w:numId="19">
    <w:abstractNumId w:val="2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6"/>
  </w:num>
  <w:num w:numId="25">
    <w:abstractNumId w:val="19"/>
  </w:num>
  <w:num w:numId="26">
    <w:abstractNumId w:val="22"/>
  </w:num>
  <w:num w:numId="27">
    <w:abstractNumId w:val="27"/>
  </w:num>
  <w:num w:numId="28">
    <w:abstractNumId w:val="20"/>
  </w:num>
  <w:num w:numId="29">
    <w:abstractNumId w:val="28"/>
  </w:num>
  <w:num w:numId="30">
    <w:abstractNumId w:val="16"/>
  </w:num>
  <w:num w:numId="31">
    <w:abstractNumId w:val="2"/>
  </w:num>
  <w:num w:numId="32">
    <w:abstractNumId w:val="18"/>
  </w:num>
  <w:num w:numId="33">
    <w:abstractNumId w:val="15"/>
  </w:num>
  <w:num w:numId="34">
    <w:abstractNumId w:val="13"/>
  </w:num>
  <w:num w:numId="35">
    <w:abstractNumId w:val="3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15"/>
    <w:next w:val="71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9"/>
    <w:link w:val="71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19"/>
    <w:link w:val="71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19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5"/>
    <w:next w:val="71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5"/>
    <w:next w:val="71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5"/>
    <w:next w:val="71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5"/>
    <w:next w:val="71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5"/>
    <w:next w:val="71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15"/>
    <w:next w:val="71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9"/>
    <w:link w:val="33"/>
    <w:uiPriority w:val="10"/>
    <w:rPr>
      <w:sz w:val="48"/>
      <w:szCs w:val="48"/>
    </w:rPr>
  </w:style>
  <w:style w:type="paragraph" w:styleId="35">
    <w:name w:val="Subtitle"/>
    <w:basedOn w:val="715"/>
    <w:next w:val="71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9"/>
    <w:link w:val="35"/>
    <w:uiPriority w:val="11"/>
    <w:rPr>
      <w:sz w:val="24"/>
      <w:szCs w:val="24"/>
    </w:rPr>
  </w:style>
  <w:style w:type="paragraph" w:styleId="37">
    <w:name w:val="Quote"/>
    <w:basedOn w:val="715"/>
    <w:next w:val="71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5"/>
    <w:next w:val="71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1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9"/>
    <w:link w:val="41"/>
    <w:uiPriority w:val="99"/>
  </w:style>
  <w:style w:type="character" w:styleId="44">
    <w:name w:val="Footer Char"/>
    <w:basedOn w:val="719"/>
    <w:link w:val="728"/>
    <w:uiPriority w:val="99"/>
  </w:style>
  <w:style w:type="paragraph" w:styleId="45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8"/>
    <w:uiPriority w:val="99"/>
  </w:style>
  <w:style w:type="table" w:styleId="48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9"/>
    <w:uiPriority w:val="99"/>
    <w:unhideWhenUsed/>
    <w:rPr>
      <w:vertAlign w:val="superscript"/>
    </w:rPr>
  </w:style>
  <w:style w:type="paragraph" w:styleId="177">
    <w:name w:val="endnote text"/>
    <w:basedOn w:val="71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9"/>
    <w:uiPriority w:val="99"/>
    <w:semiHidden/>
    <w:unhideWhenUsed/>
    <w:rPr>
      <w:vertAlign w:val="superscript"/>
    </w:rPr>
  </w:style>
  <w:style w:type="paragraph" w:styleId="180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rPr>
      <w:lang w:val="uk-UA"/>
    </w:rPr>
  </w:style>
  <w:style w:type="paragraph" w:styleId="716">
    <w:name w:val="Heading 2"/>
    <w:basedOn w:val="715"/>
    <w:link w:val="73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717">
    <w:name w:val="Heading 3"/>
    <w:basedOn w:val="715"/>
    <w:next w:val="715"/>
    <w:link w:val="754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18">
    <w:name w:val="Heading 4"/>
    <w:basedOn w:val="715"/>
    <w:next w:val="715"/>
    <w:link w:val="755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>
    <w:name w:val="List Paragraph"/>
    <w:basedOn w:val="715"/>
    <w:link w:val="7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23" w:customStyle="1">
    <w:name w:val="Абзац списку Знак"/>
    <w:link w:val="722"/>
    <w:uiPriority w:val="34"/>
    <w:qFormat/>
    <w:rPr>
      <w:rFonts w:ascii="Calibri" w:hAnsi="Calibri" w:eastAsia="Calibri" w:cs="Calibri"/>
      <w:lang w:eastAsia="zh-CN"/>
    </w:rPr>
  </w:style>
  <w:style w:type="table" w:styleId="724">
    <w:name w:val="Table Grid"/>
    <w:basedOn w:val="72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5" w:customStyle="1">
    <w:name w:val="Сетка таблицы2"/>
    <w:basedOn w:val="720"/>
    <w:next w:val="72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6">
    <w:name w:val="Normal (Web)"/>
    <w:basedOn w:val="715"/>
    <w:link w:val="733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27" w:customStyle="1">
    <w:name w:val="Сетка таблицы1"/>
    <w:basedOn w:val="720"/>
    <w:next w:val="72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8">
    <w:name w:val="Footer"/>
    <w:basedOn w:val="715"/>
    <w:link w:val="72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29" w:customStyle="1">
    <w:name w:val="Нижній колонтитул Знак"/>
    <w:basedOn w:val="719"/>
    <w:link w:val="728"/>
    <w:uiPriority w:val="99"/>
    <w:rPr>
      <w:rFonts w:ascii="Calibri" w:hAnsi="Calibri" w:eastAsia="Calibri" w:cs="Calibri"/>
      <w:lang w:eastAsia="zh-CN"/>
    </w:rPr>
  </w:style>
  <w:style w:type="paragraph" w:styleId="73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31">
    <w:name w:val="Hyperlink"/>
    <w:basedOn w:val="719"/>
    <w:uiPriority w:val="99"/>
    <w:unhideWhenUsed/>
    <w:rPr>
      <w:color w:val="0563c1" w:themeColor="hyperlink"/>
      <w:u w:val="single"/>
    </w:rPr>
  </w:style>
  <w:style w:type="character" w:styleId="732" w:customStyle="1">
    <w:name w:val="xfm_93972720"/>
    <w:basedOn w:val="719"/>
  </w:style>
  <w:style w:type="character" w:styleId="733" w:customStyle="1">
    <w:name w:val="Звичайний (веб) Знак"/>
    <w:link w:val="726"/>
    <w:qFormat/>
    <w:rPr>
      <w:rFonts w:ascii="Times New Roman" w:hAnsi="Times New Roman" w:cs="Times New Roman"/>
      <w:sz w:val="24"/>
      <w:szCs w:val="24"/>
      <w:lang w:val="uk-UA"/>
    </w:rPr>
  </w:style>
  <w:style w:type="paragraph" w:styleId="734">
    <w:name w:val="Body Text 2"/>
    <w:basedOn w:val="715"/>
    <w:link w:val="73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35" w:customStyle="1">
    <w:name w:val="Основний текст 2 Знак"/>
    <w:basedOn w:val="719"/>
    <w:link w:val="73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37" w:customStyle="1">
    <w:name w:val="Заголовок 2 Знак"/>
    <w:basedOn w:val="719"/>
    <w:link w:val="71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8">
    <w:name w:val="No Spacing"/>
    <w:link w:val="73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39" w:customStyle="1">
    <w:name w:val="Без інтервалів Знак"/>
    <w:basedOn w:val="719"/>
    <w:link w:val="738"/>
    <w:uiPriority w:val="1"/>
    <w:rPr>
      <w:rFonts w:ascii="Calibri" w:hAnsi="Calibri" w:eastAsia="Calibri" w:cs="Times New Roman"/>
      <w:lang w:val="uk-UA"/>
    </w:rPr>
  </w:style>
  <w:style w:type="character" w:styleId="740" w:customStyle="1">
    <w:name w:val="Другое_"/>
    <w:basedOn w:val="719"/>
    <w:link w:val="741"/>
    <w:rPr>
      <w:rFonts w:ascii="Calibri" w:hAnsi="Calibri" w:eastAsia="Calibri" w:cs="Calibri"/>
      <w:sz w:val="20"/>
      <w:szCs w:val="20"/>
    </w:rPr>
  </w:style>
  <w:style w:type="paragraph" w:styleId="741" w:customStyle="1">
    <w:name w:val="Другое"/>
    <w:basedOn w:val="715"/>
    <w:link w:val="740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4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43" w:customStyle="1">
    <w:name w:val="Основной текст (2)_"/>
    <w:basedOn w:val="719"/>
    <w:link w:val="744"/>
    <w:rPr>
      <w:rFonts w:eastAsia="Times New Roman" w:cs="Times New Roman"/>
      <w:shd w:val="clear" w:color="auto" w:fill="ffffff"/>
    </w:rPr>
  </w:style>
  <w:style w:type="paragraph" w:styleId="744" w:customStyle="1">
    <w:name w:val="Основной текст (2)"/>
    <w:basedOn w:val="715"/>
    <w:link w:val="74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45" w:customStyle="1">
    <w:name w:val="Текст у виносці Знак"/>
    <w:basedOn w:val="719"/>
    <w:link w:val="74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46">
    <w:name w:val="Balloon Text"/>
    <w:basedOn w:val="715"/>
    <w:link w:val="745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47" w:customStyle="1">
    <w:name w:val="Текст у виносці Знак1"/>
    <w:basedOn w:val="719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8" w:customStyle="1">
    <w:name w:val="T23"/>
    <w:rPr>
      <w:rFonts w:hint="default" w:ascii="Times New Roman" w:hAnsi="Times New Roman" w:eastAsia="Times New Roman1" w:cs="Times New Roman"/>
    </w:rPr>
  </w:style>
  <w:style w:type="paragraph" w:styleId="749" w:customStyle="1">
    <w:name w:val="Абзац списку1"/>
    <w:basedOn w:val="71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50" w:customStyle="1">
    <w:name w:val="markedcontent"/>
    <w:basedOn w:val="719"/>
  </w:style>
  <w:style w:type="paragraph" w:styleId="751">
    <w:name w:val="annotation text"/>
    <w:basedOn w:val="715"/>
    <w:link w:val="752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52" w:customStyle="1">
    <w:name w:val="Текст примітки Знак"/>
    <w:basedOn w:val="719"/>
    <w:link w:val="75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3" w:customStyle="1">
    <w:name w:val="docdata"/>
    <w:basedOn w:val="719"/>
  </w:style>
  <w:style w:type="character" w:styleId="754" w:customStyle="1">
    <w:name w:val="Заголовок 3 Знак"/>
    <w:basedOn w:val="719"/>
    <w:link w:val="717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uk-UA"/>
    </w:rPr>
  </w:style>
  <w:style w:type="character" w:styleId="755" w:customStyle="1">
    <w:name w:val="Заголовок 4 Знак"/>
    <w:basedOn w:val="719"/>
    <w:link w:val="718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lang w:val="uk-UA"/>
    </w:rPr>
  </w:style>
  <w:style w:type="paragraph" w:styleId="756" w:customStyle="1">
    <w:name w:val="name-spec"/>
    <w:basedOn w:val="7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57" w:customStyle="1">
    <w:name w:val="cont-spec"/>
    <w:basedOn w:val="7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58">
    <w:name w:val="Strong"/>
    <w:basedOn w:val="719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150</cp:revision>
  <dcterms:created xsi:type="dcterms:W3CDTF">2022-11-01T12:47:00Z</dcterms:created>
  <dcterms:modified xsi:type="dcterms:W3CDTF">2024-02-07T11:37:33Z</dcterms:modified>
</cp:coreProperties>
</file>