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Сікевича,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8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bookmarkStart w:id="0" w:name="_Hlk139615905"/>
      <w:r>
        <w:rPr>
          <w:b w:val="0"/>
          <w:bCs w:val="0"/>
          <w:sz w:val="24"/>
          <w:szCs w:val="24"/>
        </w:rPr>
        <w:t xml:space="preserve">Закупівля кулерів для води та конвекційних керамічних панелей за ДК 021:2015: 39710000-2  Електричні побутові прилади</w:t>
      </w:r>
      <w:bookmarkEnd w:id="0"/>
      <w:r/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010798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Закупівля кулерів для води та конвекційних керамічних панелей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694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6"/>
              <w:rPr>
                <w:b/>
                <w:bCs/>
              </w:rPr>
            </w:pPr>
            <w:r>
              <w:rPr>
                <w:rStyle w:val="721"/>
                <w:b/>
                <w:bCs/>
                <w:color w:val="000000"/>
                <w:shd w:val="clear" w:color="auto" w:fill="ffffff"/>
              </w:rPr>
              <w:t xml:space="preserve">Кулер для води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6"/>
              <w:rPr>
                <w:rStyle w:val="721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721"/>
                <w:b/>
                <w:bCs/>
                <w:color w:val="000000"/>
                <w:shd w:val="clear" w:color="auto" w:fill="ffffff"/>
              </w:rPr>
              <w:t xml:space="preserve">Конвекційна керамічна панель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rPr>
                <w:b/>
              </w:rPr>
            </w:pPr>
            <w:r>
              <w:rPr>
                <w:b/>
              </w:rPr>
              <w:t xml:space="preserve">21</w:t>
            </w:r>
            <w:r/>
          </w:p>
        </w:tc>
      </w:tr>
    </w:tbl>
    <w:p>
      <w:pPr>
        <w:pStyle w:val="696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ціну мають бути включені прямі, загальновиробничі та адміністративні витрати з урахуванням витрат, у тому числі, але не виключно: транспортні витрати, доплати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ризиків та/або додаткових витрат, пов’язаних з інфляційним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проєкту Договору до моменту його повного завершення.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5. Гарантія на товар повинна бути не менше гарантії виробника та складати не менше 12 (дванадцять) місяців (надати гарантійний лист)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ідно з якими заборонено здійснення державних закупівель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692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92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9"/>
        <w:gridCol w:w="7011"/>
        <w:gridCol w:w="917"/>
        <w:gridCol w:w="1177"/>
      </w:tblGrid>
      <w:tr>
        <w:trPr>
          <w:trHeight w:val="768"/>
        </w:trPr>
        <w:tc>
          <w:tcPr>
            <w:shd w:val="clear" w:color="auto" w:fill="auto"/>
            <w:tcW w:w="529" w:type="dxa"/>
            <w:textDirection w:val="lrTb"/>
            <w:noWrap w:val="false"/>
          </w:tcPr>
          <w:p>
            <w:pPr>
              <w:pStyle w:val="7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/>
          </w:p>
          <w:p>
            <w:pPr>
              <w:pStyle w:val="7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з/п</w:t>
            </w:r>
            <w:r/>
          </w:p>
        </w:tc>
        <w:tc>
          <w:tcPr>
            <w:shd w:val="clear" w:color="auto" w:fill="auto"/>
            <w:tcW w:w="7011" w:type="dxa"/>
            <w:textDirection w:val="lrTb"/>
            <w:noWrap w:val="false"/>
          </w:tcPr>
          <w:p>
            <w:pPr>
              <w:pStyle w:val="7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shd w:val="clear" w:color="auto" w:fill="auto"/>
            <w:tcW w:w="917" w:type="dxa"/>
            <w:textDirection w:val="lrTb"/>
            <w:noWrap w:val="false"/>
          </w:tcPr>
          <w:p>
            <w:pPr>
              <w:pStyle w:val="7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Од.</w:t>
            </w:r>
            <w:r/>
          </w:p>
          <w:p>
            <w:pPr>
              <w:pStyle w:val="7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виміру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pStyle w:val="7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409"/>
        </w:trPr>
        <w:tc>
          <w:tcPr>
            <w:shd w:val="clear" w:color="auto" w:fill="auto"/>
            <w:tcW w:w="529" w:type="dxa"/>
            <w:vAlign w:val="center"/>
            <w:textDirection w:val="lrTb"/>
            <w:noWrap w:val="false"/>
          </w:tcPr>
          <w:p>
            <w:pPr>
              <w:pStyle w:val="7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W w:w="7011" w:type="dxa"/>
            <w:textDirection w:val="lrTb"/>
            <w:noWrap w:val="false"/>
          </w:tcPr>
          <w:p>
            <w:pPr>
              <w:pStyle w:val="7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721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Кулер для води</w:t>
            </w:r>
            <w:r/>
          </w:p>
        </w:tc>
        <w:tc>
          <w:tcPr>
            <w:shd w:val="clear" w:color="auto" w:fill="auto"/>
            <w:tcW w:w="917" w:type="dxa"/>
            <w:vAlign w:val="center"/>
            <w:textDirection w:val="lrTb"/>
            <w:noWrap w:val="false"/>
          </w:tcPr>
          <w:p>
            <w:pPr>
              <w:pStyle w:val="7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shd w:val="clear" w:color="auto" w:fill="auto"/>
            <w:tcW w:w="1177" w:type="dxa"/>
            <w:vAlign w:val="center"/>
            <w:textDirection w:val="lrTb"/>
            <w:noWrap w:val="false"/>
          </w:tcPr>
          <w:p>
            <w:pPr>
              <w:pStyle w:val="7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</w:t>
            </w:r>
            <w:r/>
          </w:p>
        </w:tc>
      </w:tr>
      <w:tr>
        <w:trPr>
          <w:trHeight w:val="1266"/>
        </w:trPr>
        <w:tc>
          <w:tcPr>
            <w:gridSpan w:val="4"/>
            <w:shd w:val="clear" w:color="auto" w:fill="auto"/>
            <w:tcW w:w="96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Основні функції: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подача води кімнатної температури, нагрів, охолодження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Тип охолодження: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електронний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Тип установки: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підлоговий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Розміщення бутля: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нижнє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Використовувана вода: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бутильована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Дисплей: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без дисплея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Тип шафки: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 місцем під бутель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Подача води: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холодна, гаряча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Живлення: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220-240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Регулювання температури: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від +0 °С до +99 °С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Клас енергоспоживання: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гірше B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Охолодження: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10 °C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Наявність захисту від дітей: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 захистом від дітей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Вага: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більше 16 кг </w:t>
            </w:r>
            <w:r/>
          </w:p>
        </w:tc>
      </w:tr>
      <w:tr>
        <w:trPr>
          <w:trHeight w:val="409"/>
        </w:trPr>
        <w:tc>
          <w:tcPr>
            <w:shd w:val="clear" w:color="auto" w:fill="auto"/>
            <w:tcW w:w="529" w:type="dxa"/>
            <w:vAlign w:val="center"/>
            <w:textDirection w:val="lrTb"/>
            <w:noWrap w:val="false"/>
          </w:tcPr>
          <w:p>
            <w:pPr>
              <w:pStyle w:val="7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W w:w="7011" w:type="dxa"/>
            <w:textDirection w:val="lrTb"/>
            <w:noWrap w:val="false"/>
          </w:tcPr>
          <w:p>
            <w:pPr>
              <w:pStyle w:val="7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721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Конвекційна керамічна панель</w:t>
            </w:r>
            <w:r/>
          </w:p>
        </w:tc>
        <w:tc>
          <w:tcPr>
            <w:shd w:val="clear" w:color="auto" w:fill="auto"/>
            <w:tcW w:w="917" w:type="dxa"/>
            <w:vAlign w:val="center"/>
            <w:textDirection w:val="lrTb"/>
            <w:noWrap w:val="false"/>
          </w:tcPr>
          <w:p>
            <w:pPr>
              <w:pStyle w:val="7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shd w:val="clear" w:color="auto" w:fill="auto"/>
            <w:tcW w:w="1177" w:type="dxa"/>
            <w:vAlign w:val="center"/>
            <w:textDirection w:val="lrTb"/>
            <w:noWrap w:val="false"/>
          </w:tcPr>
          <w:p>
            <w:pPr>
              <w:pStyle w:val="7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21</w:t>
            </w:r>
            <w:r/>
          </w:p>
        </w:tc>
      </w:tr>
      <w:tr>
        <w:trPr>
          <w:trHeight w:val="1266"/>
        </w:trPr>
        <w:tc>
          <w:tcPr>
            <w:gridSpan w:val="4"/>
            <w:shd w:val="clear" w:color="auto" w:fill="auto"/>
            <w:tcW w:w="96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Тип: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керамічні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Керування: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електронне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Термостат: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механічний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Тип встановлення: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настінний, підлоговий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Матеріал фронтальної поверхні: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кераміка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Тип живлення: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мережевий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Особливості: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низьке споживання електроенергії, безпечний та безшумний, не сушить повітря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Номінальна напруга: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220 В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Потужність: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менше 1000 Вт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Площа обігріву: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менше 22 кв.м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Базовий колір: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білий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Ступінь пиловологозахисту: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гірше IP44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Комплектація: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гарантійний талон, інструкція з експлуатації, ніжки в комплект входять, комплектується настінним кріпленням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Габарити (ВxШxГ):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137х62х6.5 см  «+», «-» 6 см.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Вага: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 більше  30 кг</w:t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176 197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сімдесят шість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тисяч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 дев’яносто сім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Примірної методики визначення очікуваної вартості предмета 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Цод = (Ц1 +… + Цк)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9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14"/>
  </w:num>
  <w:num w:numId="5">
    <w:abstractNumId w:val="4"/>
  </w:num>
  <w:num w:numId="6">
    <w:abstractNumId w:val="17"/>
  </w:num>
  <w:num w:numId="7">
    <w:abstractNumId w:val="8"/>
  </w:num>
  <w:num w:numId="8">
    <w:abstractNumId w:val="19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8"/>
  </w:num>
  <w:num w:numId="17">
    <w:abstractNumId w:val="0"/>
  </w:num>
  <w:num w:numId="18">
    <w:abstractNumId w:val="20"/>
  </w:num>
  <w:num w:numId="19">
    <w:abstractNumId w:val="15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7"/>
    <w:next w:val="68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9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9"/>
    <w:link w:val="688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7"/>
    <w:next w:val="68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7"/>
    <w:next w:val="68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7"/>
    <w:next w:val="68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7"/>
    <w:next w:val="68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7"/>
    <w:next w:val="68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7"/>
    <w:next w:val="68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7"/>
    <w:next w:val="68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7"/>
    <w:next w:val="68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9"/>
    <w:link w:val="33"/>
    <w:uiPriority w:val="10"/>
    <w:rPr>
      <w:sz w:val="48"/>
      <w:szCs w:val="48"/>
    </w:rPr>
  </w:style>
  <w:style w:type="paragraph" w:styleId="35">
    <w:name w:val="Subtitle"/>
    <w:basedOn w:val="687"/>
    <w:next w:val="68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9"/>
    <w:link w:val="35"/>
    <w:uiPriority w:val="11"/>
    <w:rPr>
      <w:sz w:val="24"/>
      <w:szCs w:val="24"/>
    </w:rPr>
  </w:style>
  <w:style w:type="paragraph" w:styleId="37">
    <w:name w:val="Quote"/>
    <w:basedOn w:val="687"/>
    <w:next w:val="68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7"/>
    <w:next w:val="68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89"/>
    <w:link w:val="41"/>
    <w:uiPriority w:val="99"/>
  </w:style>
  <w:style w:type="character" w:styleId="44">
    <w:name w:val="Footer Char"/>
    <w:basedOn w:val="689"/>
    <w:link w:val="698"/>
    <w:uiPriority w:val="99"/>
  </w:style>
  <w:style w:type="paragraph" w:styleId="45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8"/>
    <w:uiPriority w:val="99"/>
  </w:style>
  <w:style w:type="table" w:styleId="48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9"/>
    <w:uiPriority w:val="99"/>
    <w:unhideWhenUsed/>
    <w:rPr>
      <w:vertAlign w:val="superscript"/>
    </w:rPr>
  </w:style>
  <w:style w:type="paragraph" w:styleId="177">
    <w:name w:val="endnote text"/>
    <w:basedOn w:val="68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9"/>
    <w:uiPriority w:val="99"/>
    <w:semiHidden/>
    <w:unhideWhenUsed/>
    <w:rPr>
      <w:vertAlign w:val="superscript"/>
    </w:rPr>
  </w:style>
  <w:style w:type="paragraph" w:styleId="180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  <w:rPr>
      <w:lang w:val="uk-UA"/>
    </w:rPr>
  </w:style>
  <w:style w:type="paragraph" w:styleId="688">
    <w:name w:val="Heading 2"/>
    <w:basedOn w:val="687"/>
    <w:link w:val="707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paragraph" w:styleId="692">
    <w:name w:val="List Paragraph"/>
    <w:basedOn w:val="687"/>
    <w:link w:val="69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93" w:customStyle="1">
    <w:name w:val="Абзац списку Знак"/>
    <w:link w:val="692"/>
    <w:uiPriority w:val="34"/>
    <w:rPr>
      <w:rFonts w:ascii="Calibri" w:hAnsi="Calibri" w:eastAsia="Calibri" w:cs="Calibri"/>
      <w:lang w:eastAsia="zh-CN"/>
    </w:rPr>
  </w:style>
  <w:style w:type="table" w:styleId="694">
    <w:name w:val="Table Grid"/>
    <w:basedOn w:val="69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5" w:customStyle="1">
    <w:name w:val="Сетка таблицы2"/>
    <w:basedOn w:val="690"/>
    <w:next w:val="694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6">
    <w:name w:val="Normal (Web)"/>
    <w:basedOn w:val="687"/>
    <w:link w:val="703"/>
    <w:unhideWhenUsed/>
    <w:qFormat/>
    <w:rPr>
      <w:rFonts w:ascii="Times New Roman" w:hAnsi="Times New Roman" w:cs="Times New Roman"/>
      <w:sz w:val="24"/>
      <w:szCs w:val="24"/>
    </w:rPr>
  </w:style>
  <w:style w:type="table" w:styleId="697" w:customStyle="1">
    <w:name w:val="Сетка таблицы1"/>
    <w:basedOn w:val="690"/>
    <w:next w:val="694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8">
    <w:name w:val="Footer"/>
    <w:basedOn w:val="687"/>
    <w:link w:val="699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9" w:customStyle="1">
    <w:name w:val="Нижній колонтитул Знак"/>
    <w:basedOn w:val="689"/>
    <w:link w:val="698"/>
    <w:uiPriority w:val="99"/>
    <w:rPr>
      <w:rFonts w:ascii="Calibri" w:hAnsi="Calibri" w:eastAsia="Calibri" w:cs="Calibri"/>
      <w:lang w:eastAsia="zh-CN"/>
    </w:rPr>
  </w:style>
  <w:style w:type="paragraph" w:styleId="700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01">
    <w:name w:val="Hyperlink"/>
    <w:basedOn w:val="689"/>
    <w:uiPriority w:val="99"/>
    <w:unhideWhenUsed/>
    <w:rPr>
      <w:color w:val="0563c1" w:themeColor="hyperlink"/>
      <w:u w:val="single"/>
    </w:rPr>
  </w:style>
  <w:style w:type="character" w:styleId="702" w:customStyle="1">
    <w:name w:val="xfm_93972720"/>
    <w:basedOn w:val="689"/>
  </w:style>
  <w:style w:type="character" w:styleId="703" w:customStyle="1">
    <w:name w:val="Звичайний (веб) Знак"/>
    <w:link w:val="696"/>
    <w:qFormat/>
    <w:rPr>
      <w:rFonts w:ascii="Times New Roman" w:hAnsi="Times New Roman" w:cs="Times New Roman"/>
      <w:sz w:val="24"/>
      <w:szCs w:val="24"/>
      <w:lang w:val="uk-UA"/>
    </w:rPr>
  </w:style>
  <w:style w:type="paragraph" w:styleId="704">
    <w:name w:val="Body Text 2"/>
    <w:basedOn w:val="687"/>
    <w:link w:val="705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5" w:customStyle="1">
    <w:name w:val="Основний текст 2 Знак"/>
    <w:basedOn w:val="689"/>
    <w:link w:val="70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6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7" w:customStyle="1">
    <w:name w:val="Заголовок 2 Знак"/>
    <w:basedOn w:val="689"/>
    <w:link w:val="688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8">
    <w:name w:val="No Spacing"/>
    <w:link w:val="709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9" w:customStyle="1">
    <w:name w:val="Без інтервалів Знак"/>
    <w:basedOn w:val="689"/>
    <w:link w:val="708"/>
    <w:uiPriority w:val="1"/>
    <w:rPr>
      <w:rFonts w:ascii="Calibri" w:hAnsi="Calibri" w:eastAsia="Calibri" w:cs="Times New Roman"/>
      <w:lang w:val="uk-UA"/>
    </w:rPr>
  </w:style>
  <w:style w:type="character" w:styleId="710" w:customStyle="1">
    <w:name w:val="Другое_"/>
    <w:basedOn w:val="689"/>
    <w:link w:val="711"/>
    <w:rPr>
      <w:rFonts w:ascii="Calibri" w:hAnsi="Calibri" w:eastAsia="Calibri" w:cs="Calibri"/>
      <w:sz w:val="20"/>
      <w:szCs w:val="20"/>
    </w:rPr>
  </w:style>
  <w:style w:type="paragraph" w:styleId="711" w:customStyle="1">
    <w:name w:val="Другое"/>
    <w:basedOn w:val="687"/>
    <w:link w:val="710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2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13" w:customStyle="1">
    <w:name w:val="Основной текст (2)_"/>
    <w:basedOn w:val="689"/>
    <w:link w:val="714"/>
    <w:rPr>
      <w:rFonts w:eastAsia="Times New Roman" w:cs="Times New Roman"/>
      <w:shd w:val="clear" w:color="auto" w:fill="ffffff"/>
    </w:rPr>
  </w:style>
  <w:style w:type="paragraph" w:styleId="714" w:customStyle="1">
    <w:name w:val="Основной текст (2)"/>
    <w:basedOn w:val="687"/>
    <w:link w:val="713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5" w:customStyle="1">
    <w:name w:val="Текст у виносці Знак"/>
    <w:basedOn w:val="689"/>
    <w:link w:val="71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6">
    <w:name w:val="Balloon Text"/>
    <w:basedOn w:val="687"/>
    <w:link w:val="715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7" w:customStyle="1">
    <w:name w:val="Текст у виносці Знак1"/>
    <w:basedOn w:val="689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18" w:customStyle="1">
    <w:name w:val="T23"/>
    <w:rPr>
      <w:rFonts w:hint="default" w:ascii="Times New Roman" w:hAnsi="Times New Roman" w:eastAsia="Times New Roman1" w:cs="Times New Roman"/>
    </w:rPr>
  </w:style>
  <w:style w:type="paragraph" w:styleId="719" w:customStyle="1">
    <w:name w:val="Абзац списку1"/>
    <w:basedOn w:val="687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20" w:customStyle="1">
    <w:name w:val="markedcontent"/>
    <w:basedOn w:val="689"/>
  </w:style>
  <w:style w:type="character" w:styleId="721" w:customStyle="1">
    <w:name w:val="docdata"/>
    <w:basedOn w:val="68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143</cp:revision>
  <dcterms:created xsi:type="dcterms:W3CDTF">2022-11-01T12:47:00Z</dcterms:created>
  <dcterms:modified xsi:type="dcterms:W3CDTF">2023-10-30T09:38:20Z</dcterms:modified>
</cp:coreProperties>
</file>